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969B7" w14:textId="77777777" w:rsidR="00006A22" w:rsidRPr="00006A22" w:rsidRDefault="00006A22" w:rsidP="00006A22">
      <w:pPr>
        <w:spacing w:line="276" w:lineRule="auto"/>
        <w:rPr>
          <w:rFonts w:ascii="Lato" w:hAnsi="Lato"/>
        </w:rPr>
      </w:pPr>
      <w:r w:rsidRPr="00006A22">
        <w:rPr>
          <w:rFonts w:ascii="Lato" w:hAnsi="Lato"/>
        </w:rPr>
        <w:t xml:space="preserve">Druk nr </w:t>
      </w:r>
    </w:p>
    <w:p w14:paraId="514B3E16" w14:textId="05EC9491" w:rsidR="00E03A9E" w:rsidRPr="00006A22" w:rsidRDefault="008F1152" w:rsidP="00006A22">
      <w:pPr>
        <w:spacing w:line="276" w:lineRule="auto"/>
        <w:jc w:val="right"/>
        <w:rPr>
          <w:rFonts w:ascii="Lato" w:hAnsi="Lato"/>
        </w:rPr>
      </w:pPr>
      <w:r w:rsidRPr="00006A22">
        <w:rPr>
          <w:rFonts w:ascii="Lato" w:hAnsi="Lato"/>
        </w:rPr>
        <w:t xml:space="preserve">Projekt </w:t>
      </w:r>
      <w:r w:rsidR="00006A22" w:rsidRPr="00006A22">
        <w:rPr>
          <w:rFonts w:ascii="Lato" w:hAnsi="Lato"/>
        </w:rPr>
        <w:t xml:space="preserve">uchwały </w:t>
      </w:r>
      <w:r w:rsidRPr="00006A22">
        <w:rPr>
          <w:rFonts w:ascii="Lato" w:hAnsi="Lato"/>
        </w:rPr>
        <w:t>Komisji Infrastruktury</w:t>
      </w:r>
    </w:p>
    <w:p w14:paraId="4E99AFCD" w14:textId="77777777" w:rsidR="00E03A9E" w:rsidRPr="00006A22" w:rsidRDefault="00E03A9E" w:rsidP="00006A22">
      <w:pPr>
        <w:spacing w:line="276" w:lineRule="auto"/>
        <w:rPr>
          <w:rFonts w:ascii="Lato" w:hAnsi="Lato"/>
        </w:rPr>
      </w:pPr>
    </w:p>
    <w:p w14:paraId="78FA3531" w14:textId="77777777" w:rsidR="00E03A9E" w:rsidRPr="00006A22" w:rsidRDefault="008F1152" w:rsidP="00006A22">
      <w:pPr>
        <w:spacing w:line="276" w:lineRule="auto"/>
        <w:jc w:val="center"/>
        <w:rPr>
          <w:rFonts w:ascii="Lato" w:hAnsi="Lato"/>
        </w:rPr>
      </w:pPr>
      <w:r w:rsidRPr="00006A22">
        <w:rPr>
          <w:rFonts w:ascii="Lato" w:hAnsi="Lato"/>
          <w:b/>
          <w:bCs/>
        </w:rPr>
        <w:t>UCHWAŁA NR …/…/2026</w:t>
      </w:r>
    </w:p>
    <w:p w14:paraId="31D7A452" w14:textId="77777777" w:rsidR="00E03A9E" w:rsidRPr="00006A22" w:rsidRDefault="008F1152" w:rsidP="00006A22">
      <w:pPr>
        <w:spacing w:line="276" w:lineRule="auto"/>
        <w:jc w:val="center"/>
        <w:rPr>
          <w:rFonts w:ascii="Lato" w:hAnsi="Lato"/>
        </w:rPr>
      </w:pPr>
      <w:r w:rsidRPr="00006A22">
        <w:rPr>
          <w:rFonts w:ascii="Lato" w:hAnsi="Lato"/>
          <w:b/>
          <w:bCs/>
        </w:rPr>
        <w:t>RADY DZIELNICY IV PRĄDNIK BIAŁY</w:t>
      </w:r>
    </w:p>
    <w:p w14:paraId="7694A67B" w14:textId="77777777" w:rsidR="00006A22" w:rsidRDefault="00006A22" w:rsidP="00006A22">
      <w:pPr>
        <w:spacing w:line="276" w:lineRule="auto"/>
        <w:jc w:val="center"/>
        <w:rPr>
          <w:rFonts w:ascii="Lato" w:hAnsi="Lato"/>
          <w:b/>
          <w:bCs/>
        </w:rPr>
      </w:pPr>
    </w:p>
    <w:p w14:paraId="38C799A8" w14:textId="23CFD114" w:rsidR="00E03A9E" w:rsidRPr="00006A22" w:rsidRDefault="008F1152" w:rsidP="00006A22">
      <w:pPr>
        <w:spacing w:line="276" w:lineRule="auto"/>
        <w:jc w:val="center"/>
        <w:rPr>
          <w:rFonts w:ascii="Lato" w:hAnsi="Lato"/>
        </w:rPr>
      </w:pPr>
      <w:r w:rsidRPr="00006A22">
        <w:rPr>
          <w:rFonts w:ascii="Lato" w:hAnsi="Lato"/>
          <w:b/>
          <w:bCs/>
        </w:rPr>
        <w:t>z dnia ……… 2026 roku</w:t>
      </w:r>
    </w:p>
    <w:p w14:paraId="5C5EA0E4" w14:textId="77777777" w:rsidR="00E03A9E" w:rsidRPr="00006A22" w:rsidRDefault="00E03A9E" w:rsidP="00006A22">
      <w:pPr>
        <w:spacing w:line="276" w:lineRule="auto"/>
        <w:rPr>
          <w:rFonts w:ascii="Lato" w:hAnsi="Lato"/>
        </w:rPr>
      </w:pPr>
    </w:p>
    <w:p w14:paraId="354F2305" w14:textId="77777777" w:rsidR="00E03A9E" w:rsidRPr="00006A22" w:rsidRDefault="008F1152" w:rsidP="00006A22">
      <w:pPr>
        <w:spacing w:line="276" w:lineRule="auto"/>
        <w:jc w:val="center"/>
        <w:rPr>
          <w:rFonts w:ascii="Lato" w:hAnsi="Lato"/>
        </w:rPr>
      </w:pPr>
      <w:r w:rsidRPr="00006A22">
        <w:rPr>
          <w:rFonts w:ascii="Lato" w:hAnsi="Lato"/>
          <w:b/>
          <w:bCs/>
        </w:rPr>
        <w:t>w sprawie montażu separatorów pasów ruchu przy przejściach dla pieszych w rejonie Szkoły Podstawowej nr 67 oraz Szkoły Podstawowej „Mała Finlandia” oraz uzupełnienia oznakowania przejścia przy Szkole Podstawowej „Mała Finlandia”</w:t>
      </w:r>
    </w:p>
    <w:p w14:paraId="37FF48A4" w14:textId="77777777" w:rsidR="00E03A9E" w:rsidRDefault="00E03A9E" w:rsidP="00006A22">
      <w:pPr>
        <w:spacing w:line="276" w:lineRule="auto"/>
        <w:rPr>
          <w:rFonts w:ascii="Lato" w:hAnsi="Lato"/>
        </w:rPr>
      </w:pPr>
    </w:p>
    <w:p w14:paraId="53F87936" w14:textId="77777777" w:rsidR="00006A22" w:rsidRPr="00006A22" w:rsidRDefault="00006A22" w:rsidP="00006A22">
      <w:pPr>
        <w:spacing w:line="276" w:lineRule="auto"/>
        <w:rPr>
          <w:rFonts w:ascii="Lato" w:hAnsi="Lato"/>
        </w:rPr>
      </w:pPr>
    </w:p>
    <w:p w14:paraId="57927C8A" w14:textId="77777777" w:rsidR="00E03A9E" w:rsidRPr="00006A22" w:rsidRDefault="008F1152" w:rsidP="00006A22">
      <w:pPr>
        <w:spacing w:line="276" w:lineRule="auto"/>
        <w:rPr>
          <w:rFonts w:ascii="Lato" w:hAnsi="Lato"/>
          <w:sz w:val="22"/>
          <w:szCs w:val="22"/>
        </w:rPr>
      </w:pPr>
      <w:r w:rsidRPr="00006A22">
        <w:rPr>
          <w:rFonts w:ascii="Lato" w:hAnsi="Lato"/>
          <w:sz w:val="22"/>
          <w:szCs w:val="22"/>
        </w:rPr>
        <w:t>Na podstawie § 3 pkt 3 lit. g uchwały Nr XCIX/1498/14 Rady Miasta Krakowa z dnia 12 marca 2014 r. w sprawie organizacji i zakresu działania Dzielnicy IV Prądnik Biały w Krakowie (Dz. Urz. Woj. Małopolskiego z 2021 r. poz. 6698) uchwala się, co następuje:</w:t>
      </w:r>
    </w:p>
    <w:p w14:paraId="29C0A67B" w14:textId="77777777" w:rsidR="00E03A9E" w:rsidRPr="00006A22" w:rsidRDefault="00E03A9E" w:rsidP="00006A22">
      <w:pPr>
        <w:spacing w:line="276" w:lineRule="auto"/>
        <w:rPr>
          <w:rFonts w:ascii="Lato" w:hAnsi="Lato"/>
        </w:rPr>
      </w:pPr>
    </w:p>
    <w:p w14:paraId="5EBF892F" w14:textId="77777777" w:rsidR="00E03A9E" w:rsidRPr="00006A22" w:rsidRDefault="008F1152" w:rsidP="00006A22">
      <w:pPr>
        <w:spacing w:line="276" w:lineRule="auto"/>
        <w:rPr>
          <w:rFonts w:ascii="Lato" w:hAnsi="Lato"/>
        </w:rPr>
      </w:pPr>
      <w:r w:rsidRPr="00006A22">
        <w:rPr>
          <w:rFonts w:ascii="Lato" w:hAnsi="Lato"/>
          <w:b/>
          <w:bCs/>
        </w:rPr>
        <w:t xml:space="preserve">§ 1. </w:t>
      </w:r>
      <w:r w:rsidRPr="00006A22">
        <w:rPr>
          <w:rFonts w:ascii="Lato" w:hAnsi="Lato"/>
        </w:rPr>
        <w:t>Wnioskuje się o zmianę organizacji ruchu poprzez:</w:t>
      </w:r>
    </w:p>
    <w:p w14:paraId="74FEBB5E" w14:textId="0BBDD133" w:rsidR="00E03A9E" w:rsidRPr="00006A22" w:rsidRDefault="008F1152" w:rsidP="00006A22">
      <w:pPr>
        <w:spacing w:line="276" w:lineRule="auto"/>
        <w:ind w:left="360" w:hanging="360"/>
        <w:rPr>
          <w:rFonts w:ascii="Lato" w:hAnsi="Lato"/>
        </w:rPr>
      </w:pPr>
      <w:r w:rsidRPr="00006A22">
        <w:rPr>
          <w:rFonts w:ascii="Lato" w:hAnsi="Lato"/>
        </w:rPr>
        <w:t xml:space="preserve">1) montaż separatorów pasów ruchu w postaci słupków elastycznych na pasie rozdzielającym pasy ruchu ul. </w:t>
      </w:r>
      <w:r w:rsidR="002E5112" w:rsidRPr="00006A22">
        <w:rPr>
          <w:rFonts w:ascii="Lato" w:hAnsi="Lato"/>
        </w:rPr>
        <w:t>Łokietka</w:t>
      </w:r>
      <w:r w:rsidRPr="00006A22">
        <w:rPr>
          <w:rFonts w:ascii="Lato" w:hAnsi="Lato"/>
        </w:rPr>
        <w:t>, w obrębie przejścia dla pieszych przy Szkole Podstawowej nr 67 im. Władysława Łokietka (ul. Kaczorówka 4);</w:t>
      </w:r>
    </w:p>
    <w:p w14:paraId="6B67098B" w14:textId="01FFE5DC" w:rsidR="00E03A9E" w:rsidRPr="00006A22" w:rsidRDefault="008F1152" w:rsidP="00006A22">
      <w:pPr>
        <w:spacing w:line="276" w:lineRule="auto"/>
        <w:ind w:left="360" w:hanging="360"/>
        <w:rPr>
          <w:rFonts w:ascii="Lato" w:hAnsi="Lato"/>
        </w:rPr>
      </w:pPr>
      <w:r w:rsidRPr="00006A22">
        <w:rPr>
          <w:rFonts w:ascii="Lato" w:hAnsi="Lato"/>
        </w:rPr>
        <w:t xml:space="preserve">2) montaż separatorów pasów ruchu w postaci słupków elastycznych na pasie rozdzielającym pasy ruchu ul. </w:t>
      </w:r>
      <w:r w:rsidR="002E5112" w:rsidRPr="00006A22">
        <w:rPr>
          <w:rFonts w:ascii="Lato" w:hAnsi="Lato"/>
        </w:rPr>
        <w:t xml:space="preserve">Łokietka, </w:t>
      </w:r>
      <w:r w:rsidRPr="00006A22">
        <w:rPr>
          <w:rFonts w:ascii="Lato" w:hAnsi="Lato"/>
        </w:rPr>
        <w:t xml:space="preserve">w obrębie przejścia dla pieszych przy Szkole Podstawowej „Mała Finlandia” (ul. </w:t>
      </w:r>
      <w:r w:rsidR="002E5112" w:rsidRPr="00006A22">
        <w:rPr>
          <w:rFonts w:ascii="Lato" w:hAnsi="Lato"/>
        </w:rPr>
        <w:t>Łokietka</w:t>
      </w:r>
      <w:r w:rsidRPr="00006A22">
        <w:rPr>
          <w:rFonts w:ascii="Lato" w:hAnsi="Lato"/>
        </w:rPr>
        <w:t>);</w:t>
      </w:r>
    </w:p>
    <w:p w14:paraId="6AE61833" w14:textId="0C395D8E" w:rsidR="00E03A9E" w:rsidRPr="00006A22" w:rsidRDefault="008F1152" w:rsidP="00006A22">
      <w:pPr>
        <w:spacing w:line="276" w:lineRule="auto"/>
        <w:ind w:left="360" w:hanging="360"/>
        <w:rPr>
          <w:rFonts w:ascii="Lato" w:hAnsi="Lato"/>
        </w:rPr>
      </w:pPr>
      <w:r w:rsidRPr="00006A22">
        <w:rPr>
          <w:rFonts w:ascii="Lato" w:hAnsi="Lato"/>
        </w:rPr>
        <w:t xml:space="preserve">3) uzupełnienie oznakowania przejścia dla pieszych, o którym mowa w pkt 2, </w:t>
      </w:r>
      <w:proofErr w:type="gramStart"/>
      <w:r w:rsidRPr="00006A22">
        <w:rPr>
          <w:rFonts w:ascii="Lato" w:hAnsi="Lato"/>
        </w:rPr>
        <w:t>o</w:t>
      </w:r>
      <w:r w:rsidR="00006A22">
        <w:rPr>
          <w:rFonts w:ascii="Lato" w:hAnsi="Lato"/>
        </w:rPr>
        <w:t> </w:t>
      </w:r>
      <w:r w:rsidRPr="00006A22">
        <w:rPr>
          <w:rFonts w:ascii="Lato" w:hAnsi="Lato"/>
        </w:rPr>
        <w:t xml:space="preserve"> tabliczkę</w:t>
      </w:r>
      <w:proofErr w:type="gramEnd"/>
      <w:r w:rsidRPr="00006A22">
        <w:rPr>
          <w:rFonts w:ascii="Lato" w:hAnsi="Lato"/>
        </w:rPr>
        <w:t xml:space="preserve"> T-27 (tzw. „Agatka”) umieszczoną pod znakiem D-6.</w:t>
      </w:r>
    </w:p>
    <w:p w14:paraId="183B3C5D" w14:textId="77777777" w:rsidR="00E03A9E" w:rsidRPr="00006A22" w:rsidRDefault="00E03A9E" w:rsidP="00006A22">
      <w:pPr>
        <w:spacing w:line="276" w:lineRule="auto"/>
        <w:rPr>
          <w:rFonts w:ascii="Lato" w:hAnsi="Lato"/>
        </w:rPr>
      </w:pPr>
    </w:p>
    <w:p w14:paraId="33877B8D" w14:textId="77777777" w:rsidR="00E03A9E" w:rsidRPr="00006A22" w:rsidRDefault="008F1152" w:rsidP="00006A22">
      <w:pPr>
        <w:spacing w:line="276" w:lineRule="auto"/>
        <w:rPr>
          <w:rFonts w:ascii="Lato" w:hAnsi="Lato"/>
        </w:rPr>
      </w:pPr>
      <w:r w:rsidRPr="00006A22">
        <w:rPr>
          <w:rFonts w:ascii="Lato" w:hAnsi="Lato"/>
          <w:b/>
          <w:bCs/>
        </w:rPr>
        <w:t xml:space="preserve">§ 2. </w:t>
      </w:r>
      <w:r w:rsidRPr="00006A22">
        <w:rPr>
          <w:rFonts w:ascii="Lato" w:hAnsi="Lato"/>
        </w:rPr>
        <w:t>Uchwała wchodzi w życie z dniem podjęcia.</w:t>
      </w:r>
    </w:p>
    <w:p w14:paraId="588D99CF" w14:textId="77777777" w:rsidR="00E03A9E" w:rsidRPr="00006A22" w:rsidRDefault="00E03A9E" w:rsidP="00006A22">
      <w:pPr>
        <w:spacing w:line="276" w:lineRule="auto"/>
        <w:rPr>
          <w:rFonts w:ascii="Lato" w:hAnsi="Lato"/>
        </w:rPr>
      </w:pPr>
    </w:p>
    <w:p w14:paraId="4B527F0D" w14:textId="77777777" w:rsidR="00E03A9E" w:rsidRPr="00006A22" w:rsidRDefault="00E03A9E" w:rsidP="00006A22">
      <w:pPr>
        <w:spacing w:line="276" w:lineRule="auto"/>
        <w:rPr>
          <w:rFonts w:ascii="Lato" w:hAnsi="Lato"/>
        </w:rPr>
      </w:pPr>
    </w:p>
    <w:p w14:paraId="36E1024B" w14:textId="77777777" w:rsidR="00E03A9E" w:rsidRPr="00006A22" w:rsidRDefault="008F1152" w:rsidP="00006A22">
      <w:pPr>
        <w:spacing w:line="276" w:lineRule="auto"/>
        <w:rPr>
          <w:rFonts w:ascii="Lato" w:hAnsi="Lato"/>
          <w:sz w:val="22"/>
          <w:szCs w:val="22"/>
        </w:rPr>
      </w:pPr>
      <w:r w:rsidRPr="00006A22">
        <w:rPr>
          <w:rFonts w:ascii="Lato" w:hAnsi="Lato"/>
          <w:sz w:val="22"/>
          <w:szCs w:val="22"/>
        </w:rPr>
        <w:t>Uzasadnienie:</w:t>
      </w:r>
    </w:p>
    <w:p w14:paraId="7121D8A6" w14:textId="4E5F71B6" w:rsidR="00E03A9E" w:rsidRPr="00006A22" w:rsidRDefault="008F1152" w:rsidP="00006A22">
      <w:pPr>
        <w:spacing w:line="276" w:lineRule="auto"/>
        <w:rPr>
          <w:rFonts w:ascii="Lato" w:hAnsi="Lato"/>
          <w:sz w:val="22"/>
          <w:szCs w:val="22"/>
        </w:rPr>
      </w:pPr>
      <w:r w:rsidRPr="00006A22">
        <w:rPr>
          <w:rFonts w:ascii="Lato" w:hAnsi="Lato"/>
          <w:sz w:val="22"/>
          <w:szCs w:val="22"/>
        </w:rPr>
        <w:t xml:space="preserve">Podjęcie uchwały stanowi odpowiedź na zagrożenie bezpieczeństwa pieszych, </w:t>
      </w:r>
      <w:r w:rsidR="00006A22" w:rsidRPr="00006A22">
        <w:rPr>
          <w:rFonts w:ascii="Lato" w:hAnsi="Lato"/>
          <w:sz w:val="22"/>
          <w:szCs w:val="22"/>
        </w:rPr>
        <w:t>w</w:t>
      </w:r>
      <w:r w:rsidR="00006A22">
        <w:rPr>
          <w:rFonts w:ascii="Lato" w:hAnsi="Lato"/>
          <w:sz w:val="22"/>
          <w:szCs w:val="22"/>
        </w:rPr>
        <w:t xml:space="preserve"> szczególności</w:t>
      </w:r>
      <w:r w:rsidRPr="00006A22">
        <w:rPr>
          <w:rFonts w:ascii="Lato" w:hAnsi="Lato"/>
          <w:sz w:val="22"/>
          <w:szCs w:val="22"/>
        </w:rPr>
        <w:t xml:space="preserve"> dzieci, na przejściach dla pieszych w rejonie Szkoły Podstawowej nr 67 oraz Szkoły Podstawowej „Mała Finlandia”.</w:t>
      </w:r>
    </w:p>
    <w:p w14:paraId="3A815D9A" w14:textId="5892DD84" w:rsidR="00E03A9E" w:rsidRPr="00006A22" w:rsidRDefault="008F1152" w:rsidP="00006A22">
      <w:pPr>
        <w:spacing w:line="276" w:lineRule="auto"/>
        <w:rPr>
          <w:rFonts w:ascii="Lato" w:hAnsi="Lato"/>
          <w:sz w:val="22"/>
          <w:szCs w:val="22"/>
        </w:rPr>
      </w:pPr>
      <w:r w:rsidRPr="00006A22">
        <w:rPr>
          <w:rFonts w:ascii="Lato" w:hAnsi="Lato"/>
          <w:sz w:val="22"/>
          <w:szCs w:val="22"/>
        </w:rPr>
        <w:t xml:space="preserve">Przejście dla pieszych przy Szkole Podstawowej nr 67 jest miejscem szczególnie niebezpiecznym. W jego bezpośrednim sąsiedztwie znajduje się przystanek autobusowy bez zatoki, w związku z czym autobus zatrzymujący się na przystanku zajmuje pas ruchu. Kierujący pojazdami jadącymi za autobusem często decydują się na jego wyprzedzanie lub omijanie bezpośrednio przed przejściem dla pieszych, mimo że przepisy ustawy – Prawo o ruchu drogowym zabraniają wyprzedzania pojazdu na przejściu dla pieszych i bezpośrednio przed nim. Stojący autobus dodatkowo ogranicza widoczność pieszych wchodzących na przejście, </w:t>
      </w:r>
      <w:proofErr w:type="gramStart"/>
      <w:r w:rsidRPr="00006A22">
        <w:rPr>
          <w:rFonts w:ascii="Lato" w:hAnsi="Lato"/>
          <w:sz w:val="22"/>
          <w:szCs w:val="22"/>
        </w:rPr>
        <w:t>w</w:t>
      </w:r>
      <w:r w:rsidR="00006A22">
        <w:rPr>
          <w:rFonts w:ascii="Lato" w:hAnsi="Lato"/>
          <w:sz w:val="22"/>
          <w:szCs w:val="22"/>
        </w:rPr>
        <w:t> </w:t>
      </w:r>
      <w:r w:rsidRPr="00006A22">
        <w:rPr>
          <w:rFonts w:ascii="Lato" w:hAnsi="Lato"/>
          <w:sz w:val="22"/>
          <w:szCs w:val="22"/>
        </w:rPr>
        <w:t xml:space="preserve"> tym</w:t>
      </w:r>
      <w:proofErr w:type="gramEnd"/>
      <w:r w:rsidRPr="00006A22">
        <w:rPr>
          <w:rFonts w:ascii="Lato" w:hAnsi="Lato"/>
          <w:sz w:val="22"/>
          <w:szCs w:val="22"/>
        </w:rPr>
        <w:t xml:space="preserve"> uczniów udających się do szkoły i wracających z niej.</w:t>
      </w:r>
    </w:p>
    <w:p w14:paraId="0FF0BC2F" w14:textId="77777777" w:rsidR="00E03A9E" w:rsidRPr="00006A22" w:rsidRDefault="008F1152" w:rsidP="00006A22">
      <w:pPr>
        <w:spacing w:line="276" w:lineRule="auto"/>
        <w:rPr>
          <w:rFonts w:ascii="Lato" w:hAnsi="Lato"/>
          <w:sz w:val="22"/>
          <w:szCs w:val="22"/>
        </w:rPr>
      </w:pPr>
      <w:r w:rsidRPr="00006A22">
        <w:rPr>
          <w:rFonts w:ascii="Lato" w:hAnsi="Lato"/>
          <w:sz w:val="22"/>
          <w:szCs w:val="22"/>
        </w:rPr>
        <w:lastRenderedPageBreak/>
        <w:t xml:space="preserve">Montaż słupków elastycznych na pasie rozdzielającym pasy ruchu fizycznie uniemożliwi zmianę pasa ruchu i wyprzedzanie w obrębie przejścia, a jednocześnie wizualnie zawęzi jezdnię, skłaniając kierujących do obniżenia prędkości. Jest to rozwiązanie </w:t>
      </w:r>
      <w:proofErr w:type="spellStart"/>
      <w:r w:rsidRPr="00006A22">
        <w:rPr>
          <w:rFonts w:ascii="Lato" w:hAnsi="Lato"/>
          <w:sz w:val="22"/>
          <w:szCs w:val="22"/>
        </w:rPr>
        <w:t>niskokosztowe</w:t>
      </w:r>
      <w:proofErr w:type="spellEnd"/>
      <w:r w:rsidRPr="00006A22">
        <w:rPr>
          <w:rFonts w:ascii="Lato" w:hAnsi="Lato"/>
          <w:sz w:val="22"/>
          <w:szCs w:val="22"/>
        </w:rPr>
        <w:t xml:space="preserve"> i możliwe do szybkiego wdrożenia, niewymagające przebudowy drogi.</w:t>
      </w:r>
    </w:p>
    <w:p w14:paraId="21700562" w14:textId="77777777" w:rsidR="00E03A9E" w:rsidRPr="00006A22" w:rsidRDefault="008F1152" w:rsidP="00006A22">
      <w:pPr>
        <w:spacing w:line="276" w:lineRule="auto"/>
        <w:rPr>
          <w:rFonts w:ascii="Lato" w:hAnsi="Lato"/>
          <w:sz w:val="22"/>
          <w:szCs w:val="22"/>
        </w:rPr>
      </w:pPr>
      <w:r w:rsidRPr="00006A22">
        <w:rPr>
          <w:rFonts w:ascii="Lato" w:hAnsi="Lato"/>
          <w:sz w:val="22"/>
          <w:szCs w:val="22"/>
        </w:rPr>
        <w:t>Analogiczna sytuacja występuje przy przejściu dla pieszych w rejonie Szkoły Podstawowej „Mała Finlandia”. Przejście to nie zostało ponadto oznakowane tabliczką T-27 („Agatka”), która informuje kierujących, że z przejścia korzystają dzieci w drodze do szkoły i z niej, a której zastosowanie przy przejściach w rejonie szkół przewidują przepisy w sprawie szczegółowych warunków technicznych dla znaków i sygnałów drogowych. Brak tego oznakowania obniża czujność kierujących w miejscu o szczególnie intensywnym ruchu dzieci.</w:t>
      </w:r>
    </w:p>
    <w:p w14:paraId="618B3DD1" w14:textId="77777777" w:rsidR="00E03A9E" w:rsidRDefault="008F1152" w:rsidP="00006A22">
      <w:pPr>
        <w:spacing w:line="276" w:lineRule="auto"/>
        <w:rPr>
          <w:rFonts w:ascii="Lato" w:hAnsi="Lato"/>
          <w:sz w:val="22"/>
          <w:szCs w:val="22"/>
        </w:rPr>
      </w:pPr>
      <w:r w:rsidRPr="00006A22">
        <w:rPr>
          <w:rFonts w:ascii="Lato" w:hAnsi="Lato"/>
          <w:sz w:val="22"/>
          <w:szCs w:val="22"/>
        </w:rPr>
        <w:t>Mając powyższe na uwadze, podjęcie uchwały jest zasadne.</w:t>
      </w:r>
    </w:p>
    <w:p w14:paraId="79A3058B" w14:textId="77777777" w:rsidR="00F6371D" w:rsidRDefault="00F6371D" w:rsidP="00006A22">
      <w:pPr>
        <w:spacing w:line="276" w:lineRule="auto"/>
        <w:rPr>
          <w:rFonts w:ascii="Lato" w:hAnsi="Lato"/>
          <w:sz w:val="22"/>
          <w:szCs w:val="22"/>
        </w:rPr>
      </w:pPr>
    </w:p>
    <w:p w14:paraId="11158729" w14:textId="33E80504" w:rsidR="00F6371D" w:rsidRDefault="00F6371D" w:rsidP="00F6371D">
      <w:pPr>
        <w:spacing w:line="276" w:lineRule="auto"/>
        <w:ind w:left="5529"/>
        <w:rPr>
          <w:rFonts w:ascii="Lato" w:hAnsi="Lato"/>
          <w:sz w:val="22"/>
          <w:szCs w:val="22"/>
        </w:rPr>
      </w:pPr>
      <w:r>
        <w:rPr>
          <w:rFonts w:ascii="Lato" w:hAnsi="Lato"/>
          <w:sz w:val="22"/>
          <w:szCs w:val="22"/>
        </w:rPr>
        <w:t>Przewodniczący Komisji</w:t>
      </w:r>
    </w:p>
    <w:p w14:paraId="21953AE7" w14:textId="77777777" w:rsidR="00F6371D" w:rsidRDefault="00F6371D" w:rsidP="00F6371D">
      <w:pPr>
        <w:spacing w:line="276" w:lineRule="auto"/>
        <w:ind w:left="5529"/>
        <w:rPr>
          <w:rFonts w:ascii="Lato" w:hAnsi="Lato"/>
          <w:sz w:val="22"/>
          <w:szCs w:val="22"/>
        </w:rPr>
      </w:pPr>
    </w:p>
    <w:p w14:paraId="53517437" w14:textId="2AC80EE5" w:rsidR="00F6371D" w:rsidRPr="00006A22" w:rsidRDefault="00F6371D" w:rsidP="00F6371D">
      <w:pPr>
        <w:spacing w:line="276" w:lineRule="auto"/>
        <w:ind w:left="5954"/>
        <w:rPr>
          <w:rFonts w:ascii="Lato" w:hAnsi="Lato"/>
          <w:sz w:val="22"/>
          <w:szCs w:val="22"/>
        </w:rPr>
      </w:pPr>
      <w:r>
        <w:rPr>
          <w:rFonts w:ascii="Lato" w:hAnsi="Lato"/>
          <w:sz w:val="22"/>
          <w:szCs w:val="22"/>
        </w:rPr>
        <w:t>Jakub Kornecki</w:t>
      </w:r>
    </w:p>
    <w:sectPr w:rsidR="00F6371D" w:rsidRPr="00006A22" w:rsidSect="00006A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o">
    <w:panose1 w:val="020F0502020204030203"/>
    <w:charset w:val="EE"/>
    <w:family w:val="swiss"/>
    <w:pitch w:val="variable"/>
    <w:sig w:usb0="A00000AF" w:usb1="5000604B" w:usb2="00000000" w:usb3="00000000" w:csb0="00000093"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DC4F9D"/>
    <w:multiLevelType w:val="hybridMultilevel"/>
    <w:tmpl w:val="080C13E4"/>
    <w:lvl w:ilvl="0" w:tplc="513859F6">
      <w:start w:val="1"/>
      <w:numFmt w:val="bullet"/>
      <w:lvlText w:val="●"/>
      <w:lvlJc w:val="left"/>
      <w:pPr>
        <w:ind w:left="720" w:hanging="360"/>
      </w:pPr>
    </w:lvl>
    <w:lvl w:ilvl="1" w:tplc="CC0CA768">
      <w:start w:val="1"/>
      <w:numFmt w:val="bullet"/>
      <w:lvlText w:val="○"/>
      <w:lvlJc w:val="left"/>
      <w:pPr>
        <w:ind w:left="1440" w:hanging="360"/>
      </w:pPr>
    </w:lvl>
    <w:lvl w:ilvl="2" w:tplc="E9A27CD2">
      <w:start w:val="1"/>
      <w:numFmt w:val="bullet"/>
      <w:lvlText w:val="■"/>
      <w:lvlJc w:val="left"/>
      <w:pPr>
        <w:ind w:left="2160" w:hanging="360"/>
      </w:pPr>
    </w:lvl>
    <w:lvl w:ilvl="3" w:tplc="25C0BB30">
      <w:start w:val="1"/>
      <w:numFmt w:val="bullet"/>
      <w:lvlText w:val="●"/>
      <w:lvlJc w:val="left"/>
      <w:pPr>
        <w:ind w:left="2880" w:hanging="360"/>
      </w:pPr>
    </w:lvl>
    <w:lvl w:ilvl="4" w:tplc="B45A8F6C">
      <w:start w:val="1"/>
      <w:numFmt w:val="bullet"/>
      <w:lvlText w:val="○"/>
      <w:lvlJc w:val="left"/>
      <w:pPr>
        <w:ind w:left="3600" w:hanging="360"/>
      </w:pPr>
    </w:lvl>
    <w:lvl w:ilvl="5" w:tplc="9D30C2B8">
      <w:start w:val="1"/>
      <w:numFmt w:val="bullet"/>
      <w:lvlText w:val="■"/>
      <w:lvlJc w:val="left"/>
      <w:pPr>
        <w:ind w:left="4320" w:hanging="360"/>
      </w:pPr>
    </w:lvl>
    <w:lvl w:ilvl="6" w:tplc="94D4176C">
      <w:start w:val="1"/>
      <w:numFmt w:val="bullet"/>
      <w:lvlText w:val="●"/>
      <w:lvlJc w:val="left"/>
      <w:pPr>
        <w:ind w:left="5040" w:hanging="360"/>
      </w:pPr>
    </w:lvl>
    <w:lvl w:ilvl="7" w:tplc="F7866B24">
      <w:start w:val="1"/>
      <w:numFmt w:val="bullet"/>
      <w:lvlText w:val="●"/>
      <w:lvlJc w:val="left"/>
      <w:pPr>
        <w:ind w:left="5760" w:hanging="360"/>
      </w:pPr>
    </w:lvl>
    <w:lvl w:ilvl="8" w:tplc="BF5A9200">
      <w:start w:val="1"/>
      <w:numFmt w:val="bullet"/>
      <w:lvlText w:val="●"/>
      <w:lvlJc w:val="left"/>
      <w:pPr>
        <w:ind w:left="6480" w:hanging="360"/>
      </w:pPr>
    </w:lvl>
  </w:abstractNum>
  <w:num w:numId="1" w16cid:durableId="5860351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A9E"/>
    <w:rsid w:val="00006A22"/>
    <w:rsid w:val="002E5112"/>
    <w:rsid w:val="00617442"/>
    <w:rsid w:val="006B1832"/>
    <w:rsid w:val="008F1152"/>
    <w:rsid w:val="009D2700"/>
    <w:rsid w:val="00E03A9E"/>
    <w:rsid w:val="00F62449"/>
    <w:rsid w:val="00F637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5C610"/>
  <w15:docId w15:val="{413DE50C-6E5A-48D4-BAEF-3ADEB5D0A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443</Words>
  <Characters>2664</Characters>
  <Application>Microsoft Office Word</Application>
  <DocSecurity>0</DocSecurity>
  <Lines>22</Lines>
  <Paragraphs>6</Paragraphs>
  <ScaleCrop>false</ScaleCrop>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Jakub Kornecki;Dzielnica IV</dc:creator>
  <cp:keywords>projekt uchwały komisji infrastruktury w sprawie separatorów przy SP67</cp:keywords>
  <cp:lastModifiedBy>Nowak Anna</cp:lastModifiedBy>
  <cp:revision>2</cp:revision>
  <cp:lastPrinted>2026-10-16T10:57:00Z</cp:lastPrinted>
  <dcterms:created xsi:type="dcterms:W3CDTF">2026-10-16T11:11:00Z</dcterms:created>
  <dcterms:modified xsi:type="dcterms:W3CDTF">2026-10-16T11:11:00Z</dcterms:modified>
</cp:coreProperties>
</file>