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8E41" w14:textId="77777777" w:rsidR="008C68C0" w:rsidRPr="008C68C0" w:rsidRDefault="008C68C0" w:rsidP="008C68C0">
      <w:pPr>
        <w:spacing w:after="0" w:line="276" w:lineRule="auto"/>
        <w:jc w:val="left"/>
        <w:rPr>
          <w:rFonts w:ascii="Lato" w:hAnsi="Lato" w:cstheme="majorHAnsi"/>
          <w:sz w:val="24"/>
        </w:rPr>
      </w:pPr>
      <w:r w:rsidRPr="008C68C0">
        <w:rPr>
          <w:rFonts w:ascii="Lato" w:hAnsi="Lato" w:cstheme="majorHAnsi"/>
          <w:sz w:val="24"/>
        </w:rPr>
        <w:t xml:space="preserve">Druk nr </w:t>
      </w:r>
    </w:p>
    <w:p w14:paraId="0931FB1B" w14:textId="77777777" w:rsidR="008C68C0" w:rsidRPr="008C68C0" w:rsidRDefault="008C68C0" w:rsidP="008C68C0">
      <w:pPr>
        <w:spacing w:after="0" w:line="276" w:lineRule="auto"/>
        <w:jc w:val="right"/>
        <w:rPr>
          <w:rFonts w:ascii="Lato" w:hAnsi="Lato" w:cstheme="majorHAnsi"/>
          <w:i/>
          <w:iCs/>
          <w:sz w:val="24"/>
        </w:rPr>
      </w:pPr>
      <w:r w:rsidRPr="008C68C0">
        <w:rPr>
          <w:rFonts w:ascii="Lato" w:hAnsi="Lato" w:cstheme="majorHAnsi"/>
          <w:sz w:val="24"/>
        </w:rPr>
        <w:t>Projekt uchwały Komisji Infrastruktury</w:t>
      </w:r>
    </w:p>
    <w:p w14:paraId="5D7AE3B8" w14:textId="77777777" w:rsidR="008C68C0" w:rsidRPr="008C68C0" w:rsidRDefault="008C68C0" w:rsidP="008C68C0">
      <w:pPr>
        <w:spacing w:after="0" w:line="276" w:lineRule="auto"/>
        <w:rPr>
          <w:rFonts w:ascii="Lato" w:hAnsi="Lato"/>
          <w:sz w:val="24"/>
        </w:rPr>
      </w:pPr>
    </w:p>
    <w:p w14:paraId="4E7EEA6D" w14:textId="77777777" w:rsidR="008C68C0" w:rsidRPr="008C68C0" w:rsidRDefault="008C68C0" w:rsidP="008C68C0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76" w:lineRule="auto"/>
        <w:jc w:val="center"/>
        <w:outlineLvl w:val="2"/>
        <w:rPr>
          <w:rFonts w:ascii="Lato" w:hAnsi="Lato"/>
          <w:b/>
          <w:sz w:val="24"/>
          <w:lang w:eastAsia="zh-CN"/>
        </w:rPr>
      </w:pPr>
      <w:r w:rsidRPr="008C68C0">
        <w:rPr>
          <w:rFonts w:ascii="Lato" w:hAnsi="Lato"/>
          <w:b/>
          <w:sz w:val="24"/>
          <w:lang w:eastAsia="zh-CN"/>
        </w:rPr>
        <w:t>UCHWAŁA NR</w:t>
      </w:r>
    </w:p>
    <w:p w14:paraId="75F4369B" w14:textId="77777777" w:rsidR="008C68C0" w:rsidRPr="008C68C0" w:rsidRDefault="008C68C0" w:rsidP="008C68C0">
      <w:pPr>
        <w:suppressAutoHyphens/>
        <w:spacing w:after="0" w:line="276" w:lineRule="auto"/>
        <w:jc w:val="center"/>
        <w:rPr>
          <w:rFonts w:ascii="Lato" w:hAnsi="Lato"/>
          <w:b/>
          <w:sz w:val="24"/>
          <w:lang w:eastAsia="zh-CN"/>
        </w:rPr>
      </w:pPr>
      <w:r w:rsidRPr="008C68C0">
        <w:rPr>
          <w:rFonts w:ascii="Lato" w:hAnsi="Lato"/>
          <w:b/>
          <w:sz w:val="24"/>
          <w:lang w:eastAsia="zh-CN"/>
        </w:rPr>
        <w:t>RADY DZIELNICY IV PRĄDNIK BIAŁY</w:t>
      </w:r>
    </w:p>
    <w:p w14:paraId="34DFBE70" w14:textId="77777777" w:rsidR="008C68C0" w:rsidRPr="008C68C0" w:rsidRDefault="008C68C0" w:rsidP="008C68C0">
      <w:pPr>
        <w:suppressAutoHyphens/>
        <w:spacing w:after="0" w:line="276" w:lineRule="auto"/>
        <w:jc w:val="center"/>
        <w:rPr>
          <w:rFonts w:ascii="Lato" w:hAnsi="Lato"/>
          <w:sz w:val="24"/>
          <w:highlight w:val="lightGray"/>
          <w:lang w:eastAsia="zh-CN"/>
        </w:rPr>
      </w:pPr>
    </w:p>
    <w:p w14:paraId="06999859" w14:textId="77777777" w:rsidR="008C68C0" w:rsidRPr="008C68C0" w:rsidRDefault="008C68C0" w:rsidP="008C68C0">
      <w:pPr>
        <w:suppressAutoHyphens/>
        <w:spacing w:after="0" w:line="276" w:lineRule="auto"/>
        <w:jc w:val="center"/>
        <w:rPr>
          <w:rFonts w:ascii="Lato" w:hAnsi="Lato"/>
          <w:sz w:val="24"/>
          <w:lang w:eastAsia="zh-CN"/>
        </w:rPr>
      </w:pPr>
      <w:r w:rsidRPr="008C68C0">
        <w:rPr>
          <w:rFonts w:ascii="Lato" w:hAnsi="Lato"/>
          <w:sz w:val="24"/>
          <w:lang w:eastAsia="zh-CN"/>
        </w:rPr>
        <w:t xml:space="preserve">z dnia </w:t>
      </w:r>
    </w:p>
    <w:p w14:paraId="237F593A" w14:textId="65038B3C" w:rsidR="002F7646" w:rsidRPr="008C68C0" w:rsidRDefault="002F7646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</w:p>
    <w:p w14:paraId="678EBB44" w14:textId="49F0DC84" w:rsidR="002F7646" w:rsidRPr="008C68C0" w:rsidRDefault="00AB5B4C" w:rsidP="008C68C0">
      <w:pPr>
        <w:spacing w:line="276" w:lineRule="auto"/>
        <w:ind w:left="-5"/>
        <w:jc w:val="center"/>
        <w:rPr>
          <w:rFonts w:ascii="Lato" w:hAnsi="Lato"/>
          <w:sz w:val="24"/>
        </w:rPr>
      </w:pPr>
      <w:r w:rsidRPr="008C68C0">
        <w:rPr>
          <w:rFonts w:ascii="Lato" w:hAnsi="Lato"/>
          <w:b/>
          <w:sz w:val="24"/>
        </w:rPr>
        <w:t>w sprawie wyjaśnienia sytuacji prawnej i faktycznej oraz o podjęcie działań w celu odtworzenia i renowacji zbiornika wodnego przy ul. Stawowej</w:t>
      </w:r>
    </w:p>
    <w:p w14:paraId="69B31E8E" w14:textId="2EA663E6" w:rsidR="002F7646" w:rsidRPr="008C68C0" w:rsidRDefault="002F7646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</w:p>
    <w:p w14:paraId="4EA12366" w14:textId="77777777" w:rsidR="008C68C0" w:rsidRPr="008C68C0" w:rsidRDefault="008C68C0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</w:p>
    <w:p w14:paraId="17A81B49" w14:textId="68194165" w:rsidR="002F7646" w:rsidRPr="008C68C0" w:rsidRDefault="00AB5B4C" w:rsidP="008C68C0">
      <w:pPr>
        <w:spacing w:line="276" w:lineRule="auto"/>
        <w:ind w:left="-5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Na podstawie § 3. ust 3 lit. k uchwały Nr XCIX/1498/14 Rady Miasta Krakowa z dnia 12 marca 2014 r. w sprawie: organizacji i zakresu działania Dzielnicy IV Prądnik Biały w</w:t>
      </w:r>
      <w:r w:rsidR="008C68C0">
        <w:rPr>
          <w:rFonts w:ascii="Lato" w:hAnsi="Lato"/>
          <w:sz w:val="24"/>
        </w:rPr>
        <w:t> </w:t>
      </w:r>
      <w:r w:rsidRPr="008C68C0">
        <w:rPr>
          <w:rFonts w:ascii="Lato" w:hAnsi="Lato"/>
          <w:sz w:val="24"/>
        </w:rPr>
        <w:t xml:space="preserve">Krakowie (Dz. Urz. Woj. Małopolskiego z 2021 r. poz. 6698), uchwala się, co następuje: </w:t>
      </w:r>
    </w:p>
    <w:p w14:paraId="272B7000" w14:textId="2BEEC058" w:rsidR="002F7646" w:rsidRPr="008C68C0" w:rsidRDefault="002F7646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</w:p>
    <w:p w14:paraId="68A09437" w14:textId="77777777" w:rsidR="00FB6184" w:rsidRPr="008C68C0" w:rsidRDefault="00FB6184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§ 1. Rada Dzielnicy IV Prądnik Biały wnioskuje o:</w:t>
      </w:r>
    </w:p>
    <w:p w14:paraId="7362EB67" w14:textId="77777777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Przedstawienie pełnej informacji dotyczącej podstaw prawnych i faktycznych likwidacji zbiornika wodnego (stawu) położonego przy ul. Stawowej, naprzeciwko Zespołu Szkolno-Przedszkolnego nr 14, wraz ze wskazaniem wszystkich wydanych decyzji administracyjnych, uzgodnień, opinii oraz pozwoleń, które umożliwiły realizację tych działań.</w:t>
      </w:r>
    </w:p>
    <w:p w14:paraId="34EDBE10" w14:textId="5276C405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Udostępnienie dokumentacji potwierdzającej, że likwidacja zbiornika wodnego została przeprowadzona zgodnie z obowiązującymi przepisami prawa, w</w:t>
      </w:r>
      <w:r w:rsidR="008C68C0">
        <w:rPr>
          <w:rFonts w:ascii="Lato" w:hAnsi="Lato"/>
          <w:sz w:val="24"/>
        </w:rPr>
        <w:t> </w:t>
      </w:r>
      <w:r w:rsidRPr="008C68C0">
        <w:rPr>
          <w:rFonts w:ascii="Lato" w:hAnsi="Lato"/>
          <w:sz w:val="24"/>
        </w:rPr>
        <w:t>szczególności przepisami ustawy Prawo wodne, ustawy Prawo budowlane oraz warunkami wydanych decyzji administracyjnych.</w:t>
      </w:r>
    </w:p>
    <w:p w14:paraId="1FA1382B" w14:textId="48804C99" w:rsidR="00FB6184" w:rsidRPr="008C68C0" w:rsidRDefault="00EA48A1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Wyjaśnienie</w:t>
      </w:r>
      <w:r w:rsidR="00FB6184" w:rsidRPr="008C68C0">
        <w:rPr>
          <w:rFonts w:ascii="Lato" w:hAnsi="Lato"/>
          <w:sz w:val="24"/>
        </w:rPr>
        <w:t xml:space="preserve"> czy likwidacja zbiornika wodnego była objęta pozwoleniem wodnoprawnym lub innymi wymaganymi prawem decyzjami oraz wskazanie organów, które prowadziły postępowania w tym zakresie.</w:t>
      </w:r>
    </w:p>
    <w:p w14:paraId="06F4809F" w14:textId="77777777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Przeprowadzenie przez właściwe organy kontroli dotyczącej zgodności wykonanych robót ziemnych, zmian ukształtowania terenu, sposobu odprowadzania wód opadowych i roztopowych oraz ewentualnej zmiany przebiegu cieku wodnego z obowiązującymi przepisami prawa i wydanymi decyzjami administracyjnymi.</w:t>
      </w:r>
    </w:p>
    <w:p w14:paraId="6CF713AC" w14:textId="77777777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Ustalenie, czy w wyniku realizacji inwestycji nie doszło do zmiany stosunków wodnych powodującej zwiększone ryzyko podtopień nieruchomości sąsiednich, w szczególności terenów mieszkaniowych oraz Zespołu Szkolno-Przedszkolnego nr 14.</w:t>
      </w:r>
    </w:p>
    <w:p w14:paraId="5DBAAB5D" w14:textId="1C593356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Przedstawienie informacji, czy inwestor lub inne podmioty uczestniczące w</w:t>
      </w:r>
      <w:r w:rsidR="008C68C0">
        <w:rPr>
          <w:rFonts w:ascii="Lato" w:hAnsi="Lato"/>
          <w:sz w:val="24"/>
        </w:rPr>
        <w:t> </w:t>
      </w:r>
      <w:r w:rsidRPr="008C68C0">
        <w:rPr>
          <w:rFonts w:ascii="Lato" w:hAnsi="Lato"/>
          <w:sz w:val="24"/>
        </w:rPr>
        <w:t xml:space="preserve">procesie inwestycyjnym deklarowały odtworzenie, renowację lub </w:t>
      </w:r>
      <w:r w:rsidRPr="008C68C0">
        <w:rPr>
          <w:rFonts w:ascii="Lato" w:hAnsi="Lato"/>
          <w:sz w:val="24"/>
        </w:rPr>
        <w:lastRenderedPageBreak/>
        <w:t>przywrócenie funkcji retencyjnej zbiornika wodnego, a jeżeli tak – wskazanie przyczyn niezrealizowania tych działań.</w:t>
      </w:r>
    </w:p>
    <w:p w14:paraId="5D4CEE9E" w14:textId="77777777" w:rsidR="00FB6184" w:rsidRPr="008C68C0" w:rsidRDefault="00FB6184" w:rsidP="008C68C0">
      <w:pPr>
        <w:numPr>
          <w:ilvl w:val="0"/>
          <w:numId w:val="2"/>
        </w:numPr>
        <w:spacing w:after="18" w:line="276" w:lineRule="auto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>Rozważenie podjęcia działań mających na celu odtworzenie zbiornika wodnego lub przywrócenie funkcji retencyjnej terenu, jeżeli przeprowadzone analizy wykażą, że likwidacja stawu przyczyniła się do pogorszenia bezpieczeństwa hydrologicznego tego obszaru.</w:t>
      </w:r>
    </w:p>
    <w:p w14:paraId="03BD6CF9" w14:textId="77777777" w:rsidR="002F7646" w:rsidRPr="008C68C0" w:rsidRDefault="00AB5B4C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 xml:space="preserve"> </w:t>
      </w:r>
    </w:p>
    <w:p w14:paraId="150A4867" w14:textId="77777777" w:rsidR="002F7646" w:rsidRPr="008C68C0" w:rsidRDefault="00AB5B4C" w:rsidP="008C68C0">
      <w:pPr>
        <w:spacing w:line="276" w:lineRule="auto"/>
        <w:ind w:left="-5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 xml:space="preserve">§ 2. Uchwała wchodzi w życie z dniem podjęcia. </w:t>
      </w:r>
    </w:p>
    <w:p w14:paraId="468856E2" w14:textId="77777777" w:rsidR="002F7646" w:rsidRPr="008C68C0" w:rsidRDefault="00AB5B4C" w:rsidP="008C68C0">
      <w:pPr>
        <w:spacing w:after="18" w:line="276" w:lineRule="auto"/>
        <w:ind w:left="0" w:firstLine="0"/>
        <w:jc w:val="left"/>
        <w:rPr>
          <w:rFonts w:ascii="Lato" w:hAnsi="Lato"/>
          <w:sz w:val="24"/>
        </w:rPr>
      </w:pPr>
      <w:r w:rsidRPr="008C68C0">
        <w:rPr>
          <w:rFonts w:ascii="Lato" w:hAnsi="Lato"/>
          <w:sz w:val="24"/>
        </w:rPr>
        <w:t xml:space="preserve"> </w:t>
      </w:r>
    </w:p>
    <w:p w14:paraId="7779F02B" w14:textId="77777777" w:rsidR="002F7646" w:rsidRPr="00EA48A1" w:rsidRDefault="00AB5B4C" w:rsidP="008C68C0">
      <w:pPr>
        <w:spacing w:line="276" w:lineRule="auto"/>
        <w:ind w:left="-5"/>
        <w:jc w:val="left"/>
        <w:rPr>
          <w:rFonts w:ascii="Lato" w:hAnsi="Lato"/>
          <w:bCs/>
          <w:szCs w:val="22"/>
        </w:rPr>
      </w:pPr>
      <w:r w:rsidRPr="00EA48A1">
        <w:rPr>
          <w:rFonts w:ascii="Lato" w:hAnsi="Lato"/>
          <w:bCs/>
          <w:szCs w:val="22"/>
        </w:rPr>
        <w:t xml:space="preserve">Uzasadnienie: </w:t>
      </w:r>
    </w:p>
    <w:p w14:paraId="2E1F5AD2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Przedmiotowa uchwała ma na celu wyjaśnienie okoliczności związanych z likwidacją zbiornika wodnego (stawu) położonego przy ul. Stawowej, naprzeciwko Zespołu Szkolno-Przedszkolnego nr 14, a także ocenę skutków tej ingerencji dla lokalnych stosunków wodnych, bezpieczeństwa mieszkańców oraz infrastruktury publicznej.</w:t>
      </w:r>
    </w:p>
    <w:p w14:paraId="03EC0375" w14:textId="6C678D22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Przed rozpoczęciem realizacji inwestycji mieszkaniowej „Stawowa Przystań” na wskazanym terenie funkcjonował zbiornik wodny pełniący naturalną funkcję retencyjną. Staw ten gromadził wody opadowe i roztopowe oraz stanowił element lokalnego systemu gospodarowania wodami. W trakcie realizacji inwestycji zbiornik został stopniowo zasypany, a</w:t>
      </w:r>
      <w:r w:rsidR="00EA48A1">
        <w:rPr>
          <w:rFonts w:ascii="Lato" w:hAnsi="Lato"/>
          <w:szCs w:val="22"/>
        </w:rPr>
        <w:t> </w:t>
      </w:r>
      <w:r w:rsidRPr="00EA48A1">
        <w:rPr>
          <w:rFonts w:ascii="Lato" w:hAnsi="Lato"/>
          <w:szCs w:val="22"/>
        </w:rPr>
        <w:t>po zakończeniu budowy nie został odtworzony pomimo pojawiających się wcześniej publicznych deklaracji dotyczących jego renowacji.</w:t>
      </w:r>
    </w:p>
    <w:p w14:paraId="104D58D4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Od czasu likwidacji stawu mieszkańcy okolicznych nieruchomości wielokrotnie zgłaszają problemy związane z podtopieniami i pogorszeniem warunków wodnych. Szczególne obawy budzi sytuacja Zespołu Szkolno-Przedszkolnego nr 14, gdzie dochodzi do okresowego zalewania piwnic budynku. W ostatnich latach konieczne były interwencje służb ratowniczych związane z usuwaniem skutków nadmiernego gromadzenia się wody. Podobne problemy zgłaszane są również przez mieszkańców okolicznych terenów mieszkaniowych.</w:t>
      </w:r>
    </w:p>
    <w:p w14:paraId="02556EC6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W związku z powyższym istnieje uzasadniona potrzeba przeprowadzenia szczegółowej kontroli i wyjaśnienia, czy likwidacja zbiornika wodnego oraz wszelkie prace związane ze zmianą ukształtowania terenu zostały przeprowadzone zgodnie z obowiązującymi przepisami prawa.</w:t>
      </w:r>
    </w:p>
    <w:p w14:paraId="2287466C" w14:textId="610AE498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Szczególnego zbadania wymaga zgodność wykonanych działań z przepisami ustawy z</w:t>
      </w:r>
      <w:r w:rsidR="000D6A5E" w:rsidRPr="00EA48A1">
        <w:rPr>
          <w:rFonts w:ascii="Lato" w:hAnsi="Lato"/>
          <w:szCs w:val="22"/>
        </w:rPr>
        <w:t> </w:t>
      </w:r>
      <w:r w:rsidRPr="00EA48A1">
        <w:rPr>
          <w:rFonts w:ascii="Lato" w:hAnsi="Lato"/>
          <w:szCs w:val="22"/>
        </w:rPr>
        <w:t>dnia 20 lipca 2017 r. Prawo wodne. Zgodnie z art. 234 ust. 1 tej ustawy właściciel gruntu nie może zmieniać stanu wody na gruncie, a w szczególności kierunku odpływu znajdującej się na nim wody opadowej lub roztopowej, jeżeli mogłoby to wywołać szkodę na gruntach sąsiednich. W</w:t>
      </w:r>
      <w:r w:rsidR="00EA48A1">
        <w:rPr>
          <w:rFonts w:ascii="Lato" w:hAnsi="Lato"/>
          <w:szCs w:val="22"/>
        </w:rPr>
        <w:t> </w:t>
      </w:r>
      <w:r w:rsidRPr="00EA48A1">
        <w:rPr>
          <w:rFonts w:ascii="Lato" w:hAnsi="Lato"/>
          <w:szCs w:val="22"/>
        </w:rPr>
        <w:t>przypadku potwierdzenia, że likwidacja stawu lub zmiana przebiegu dopływu wód doprowadziły do zwiększenia ryzyka podtopień okolicznych nieruchomości, mogłoby to oznaczać naruszenie przepisów regulujących ochronę stosunków wodnych.</w:t>
      </w:r>
    </w:p>
    <w:p w14:paraId="3AA56252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 xml:space="preserve">Konieczne jest również </w:t>
      </w:r>
      <w:proofErr w:type="gramStart"/>
      <w:r w:rsidRPr="00EA48A1">
        <w:rPr>
          <w:rFonts w:ascii="Lato" w:hAnsi="Lato"/>
          <w:szCs w:val="22"/>
        </w:rPr>
        <w:t>ustalenie,</w:t>
      </w:r>
      <w:proofErr w:type="gramEnd"/>
      <w:r w:rsidRPr="00EA48A1">
        <w:rPr>
          <w:rFonts w:ascii="Lato" w:hAnsi="Lato"/>
          <w:szCs w:val="22"/>
        </w:rPr>
        <w:t xml:space="preserve"> czy zasypanie zbiornika wodnego, ewentualna zmiana przebiegu cieku wodnego zasilającego staw oraz sposób odprowadzania wód opadowych były objęte wymaganymi decyzjami administracyjnymi, pozwoleniami wodnoprawnymi lub innymi uzgodnieniami wynikającymi z przepisów Prawa wodnego.</w:t>
      </w:r>
    </w:p>
    <w:p w14:paraId="75B9C066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 xml:space="preserve">Równie istotne jest zweryfikowanie zgodności wykonanych robót z zatwierdzoną dokumentacją projektową i wydanymi decyzjami budowlanymi. W przypadku dokonania zmian wykraczających poza zakres uzyskanych zgód administracyjnych mogłoby dojść do naruszenia </w:t>
      </w:r>
      <w:r w:rsidRPr="00EA48A1">
        <w:rPr>
          <w:rFonts w:ascii="Lato" w:hAnsi="Lato"/>
          <w:szCs w:val="22"/>
        </w:rPr>
        <w:lastRenderedPageBreak/>
        <w:t>przepisów ustawy Prawo budowlane, co wymagałoby oceny przez właściwe organy nadzoru budowlanego.</w:t>
      </w:r>
    </w:p>
    <w:p w14:paraId="7216F65F" w14:textId="77777777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 xml:space="preserve">Z uwagi na znaczenie zbiorników wodnych dla retencji, ochrony przeciwpowodziowej oraz zachowania lokalnych ekosystemów, zasadne jest również </w:t>
      </w:r>
      <w:proofErr w:type="gramStart"/>
      <w:r w:rsidRPr="00EA48A1">
        <w:rPr>
          <w:rFonts w:ascii="Lato" w:hAnsi="Lato"/>
          <w:szCs w:val="22"/>
        </w:rPr>
        <w:t>ustalenie,</w:t>
      </w:r>
      <w:proofErr w:type="gramEnd"/>
      <w:r w:rsidRPr="00EA48A1">
        <w:rPr>
          <w:rFonts w:ascii="Lato" w:hAnsi="Lato"/>
          <w:szCs w:val="22"/>
        </w:rPr>
        <w:t xml:space="preserve"> czy likwidacja stawu została poprzedzona odpowiednimi analizami środowiskowymi oraz czy nie doszło do negatywnego oddziaływania na środowisko naturalne.</w:t>
      </w:r>
    </w:p>
    <w:p w14:paraId="75F69B4F" w14:textId="1A8ADDD2" w:rsidR="00FB6184" w:rsidRPr="00EA48A1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Rada Dzielnicy IV Prądnik Biały stoi na stanowisku, że mieszkańcy mają prawo do pełnej informacji o podstawach prawnych i faktycznych likwidacji zbiornika wodnego oraz o</w:t>
      </w:r>
      <w:r w:rsidR="00EA48A1">
        <w:rPr>
          <w:rFonts w:ascii="Lato" w:hAnsi="Lato"/>
          <w:szCs w:val="22"/>
        </w:rPr>
        <w:t> </w:t>
      </w:r>
      <w:r w:rsidRPr="00EA48A1">
        <w:rPr>
          <w:rFonts w:ascii="Lato" w:hAnsi="Lato"/>
          <w:szCs w:val="22"/>
        </w:rPr>
        <w:t>działaniach podejmowanych przez właściwe organy w celu ochrony bezpieczeństwa hydrologicznego tego obszaru. W przypadku stwierdzenia nieprawidłowości konieczne powinno być rozważenie działań zmierzających do odtworzenia lub odbudowy funkcji retencyjnej tego terenu, tak aby ograniczyć ryzyko dalszych podtopień i poprawić bezpieczeństwo mieszkańców oraz obiektów użyteczności publicznej.</w:t>
      </w:r>
    </w:p>
    <w:p w14:paraId="10B12F32" w14:textId="77777777" w:rsidR="00FB6184" w:rsidRDefault="00FB618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  <w:r w:rsidRPr="00EA48A1">
        <w:rPr>
          <w:rFonts w:ascii="Lato" w:hAnsi="Lato"/>
          <w:szCs w:val="22"/>
        </w:rPr>
        <w:t>Mając na uwadze powyższe okoliczności, podjęcie niniejszej uchwały jest w pełni zasadne.</w:t>
      </w:r>
    </w:p>
    <w:p w14:paraId="0875AF01" w14:textId="77777777" w:rsidR="008A78D4" w:rsidRDefault="008A78D4" w:rsidP="008C68C0">
      <w:pPr>
        <w:spacing w:line="276" w:lineRule="auto"/>
        <w:ind w:left="-5"/>
        <w:jc w:val="left"/>
        <w:rPr>
          <w:rFonts w:ascii="Lato" w:hAnsi="Lato"/>
          <w:szCs w:val="22"/>
        </w:rPr>
      </w:pPr>
    </w:p>
    <w:p w14:paraId="6E9EA62A" w14:textId="5FFE8B82" w:rsidR="008A78D4" w:rsidRDefault="008A78D4" w:rsidP="008A78D4">
      <w:pPr>
        <w:spacing w:line="276" w:lineRule="auto"/>
        <w:ind w:left="5103"/>
        <w:jc w:val="left"/>
        <w:rPr>
          <w:rFonts w:ascii="Lato" w:hAnsi="Lato"/>
          <w:bCs/>
        </w:rPr>
      </w:pPr>
      <w:r>
        <w:rPr>
          <w:rFonts w:ascii="Lato" w:hAnsi="Lato"/>
          <w:bCs/>
        </w:rPr>
        <w:t>Przewodniczący Komisji</w:t>
      </w:r>
    </w:p>
    <w:p w14:paraId="4505A968" w14:textId="77777777" w:rsidR="008A78D4" w:rsidRDefault="008A78D4" w:rsidP="008C68C0">
      <w:pPr>
        <w:spacing w:line="276" w:lineRule="auto"/>
        <w:ind w:left="-5"/>
        <w:jc w:val="left"/>
        <w:rPr>
          <w:rFonts w:ascii="Lato" w:hAnsi="Lato"/>
          <w:bCs/>
        </w:rPr>
      </w:pPr>
    </w:p>
    <w:p w14:paraId="77651190" w14:textId="760B7DAC" w:rsidR="00EA48A1" w:rsidRPr="008A5CA8" w:rsidRDefault="008A78D4" w:rsidP="008A5CA8">
      <w:pPr>
        <w:spacing w:line="276" w:lineRule="auto"/>
        <w:ind w:left="5529"/>
        <w:jc w:val="left"/>
        <w:rPr>
          <w:rFonts w:ascii="Lato" w:hAnsi="Lato"/>
          <w:szCs w:val="22"/>
        </w:rPr>
      </w:pPr>
      <w:r>
        <w:rPr>
          <w:rFonts w:ascii="Lato" w:hAnsi="Lato"/>
          <w:bCs/>
        </w:rPr>
        <w:t>Jakub Kornecki</w:t>
      </w:r>
    </w:p>
    <w:sectPr w:rsidR="00EA48A1" w:rsidRPr="008A5CA8" w:rsidSect="008C68C0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0D"/>
    <w:multiLevelType w:val="hybridMultilevel"/>
    <w:tmpl w:val="F9BC67A8"/>
    <w:lvl w:ilvl="0" w:tplc="FAEE1A4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660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48F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ED3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6FA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27A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64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1F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8B5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54E4A"/>
    <w:multiLevelType w:val="multilevel"/>
    <w:tmpl w:val="FB2A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23758">
    <w:abstractNumId w:val="0"/>
  </w:num>
  <w:num w:numId="2" w16cid:durableId="93691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6"/>
    <w:rsid w:val="00003C2B"/>
    <w:rsid w:val="00063730"/>
    <w:rsid w:val="000D6A5E"/>
    <w:rsid w:val="002F7646"/>
    <w:rsid w:val="008A5CA8"/>
    <w:rsid w:val="008A78D4"/>
    <w:rsid w:val="008C68C0"/>
    <w:rsid w:val="00AB5B4C"/>
    <w:rsid w:val="00D570E1"/>
    <w:rsid w:val="00EA48A1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2C3"/>
  <w15:docId w15:val="{D137F92B-95C8-4A14-AEB6-51B93EA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48A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Uchwała_staw</vt:lpstr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Infrastruktury w sprawie wyjaśnienia sytuacji prawnej i faktycznej oraz o podjęcie działań w celu odtworzenia i renowacji zbiornika wodnego przy ul. Stawowej</dc:title>
  <dc:subject/>
  <dc:creator>Dzielnica IV Pradnik Biały;Jakub Kornecki</dc:creator>
  <cp:keywords>projekt uchwały</cp:keywords>
  <cp:lastModifiedBy>Nowak Anna</cp:lastModifiedBy>
  <cp:revision>3</cp:revision>
  <dcterms:created xsi:type="dcterms:W3CDTF">2026-06-12T14:09:00Z</dcterms:created>
  <dcterms:modified xsi:type="dcterms:W3CDTF">2026-06-12T14:10:00Z</dcterms:modified>
</cp:coreProperties>
</file>