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3CFA8" w14:textId="77777777" w:rsidR="005710F4" w:rsidRPr="005710F4" w:rsidRDefault="005710F4" w:rsidP="005710F4">
      <w:pPr>
        <w:rPr>
          <w:rFonts w:ascii="Lato" w:hAnsi="Lato"/>
          <w:sz w:val="22"/>
        </w:rPr>
      </w:pPr>
      <w:r w:rsidRPr="005710F4">
        <w:rPr>
          <w:rFonts w:ascii="Lato" w:hAnsi="Lato"/>
          <w:sz w:val="22"/>
        </w:rPr>
        <w:t>Druk nr</w:t>
      </w:r>
    </w:p>
    <w:p w14:paraId="7C421D18" w14:textId="77777777" w:rsidR="005710F4" w:rsidRPr="005710F4" w:rsidRDefault="005710F4" w:rsidP="005710F4">
      <w:pPr>
        <w:jc w:val="right"/>
        <w:rPr>
          <w:rFonts w:ascii="Lato" w:hAnsi="Lato"/>
          <w:iCs/>
          <w:sz w:val="22"/>
        </w:rPr>
      </w:pPr>
      <w:r w:rsidRPr="005710F4">
        <w:rPr>
          <w:rFonts w:ascii="Lato" w:hAnsi="Lato"/>
          <w:sz w:val="22"/>
        </w:rPr>
        <w:t>Projekt uchwały Komisji Infrastruktury</w:t>
      </w:r>
    </w:p>
    <w:p w14:paraId="0F632359" w14:textId="77777777" w:rsidR="005710F4" w:rsidRPr="005710F4" w:rsidRDefault="005710F4" w:rsidP="005710F4">
      <w:pPr>
        <w:spacing w:after="0"/>
        <w:jc w:val="center"/>
        <w:rPr>
          <w:rFonts w:cstheme="minorHAnsi"/>
        </w:rPr>
      </w:pPr>
    </w:p>
    <w:p w14:paraId="694FCA19" w14:textId="77777777" w:rsidR="005710F4" w:rsidRPr="005710F4" w:rsidRDefault="005710F4" w:rsidP="005710F4">
      <w:pPr>
        <w:spacing w:after="0"/>
        <w:jc w:val="center"/>
        <w:rPr>
          <w:rFonts w:cstheme="minorHAnsi"/>
        </w:rPr>
      </w:pPr>
    </w:p>
    <w:p w14:paraId="350906D6" w14:textId="77777777" w:rsidR="005710F4" w:rsidRPr="005710F4" w:rsidRDefault="005710F4" w:rsidP="005710F4">
      <w:pPr>
        <w:pStyle w:val="Nagwek3"/>
        <w:spacing w:before="0"/>
        <w:jc w:val="center"/>
        <w:rPr>
          <w:rFonts w:ascii="Lato" w:hAnsi="Lato"/>
          <w:color w:val="auto"/>
        </w:rPr>
      </w:pPr>
      <w:r w:rsidRPr="005710F4">
        <w:rPr>
          <w:rFonts w:ascii="Lato" w:hAnsi="Lato"/>
          <w:color w:val="auto"/>
        </w:rPr>
        <w:t>UCHWAŁA NR</w:t>
      </w:r>
    </w:p>
    <w:p w14:paraId="36580CD8" w14:textId="77777777" w:rsidR="005710F4" w:rsidRPr="005710F4" w:rsidRDefault="005710F4" w:rsidP="005710F4">
      <w:pPr>
        <w:spacing w:after="0"/>
        <w:jc w:val="center"/>
        <w:rPr>
          <w:rFonts w:ascii="Lato" w:hAnsi="Lato"/>
          <w:b/>
        </w:rPr>
      </w:pPr>
      <w:r w:rsidRPr="005710F4">
        <w:rPr>
          <w:rFonts w:ascii="Lato" w:hAnsi="Lato"/>
          <w:b/>
        </w:rPr>
        <w:t>RADY DZIELNICY IV PRĄDNIK BIAŁY</w:t>
      </w:r>
    </w:p>
    <w:p w14:paraId="6AF190C9" w14:textId="77777777" w:rsidR="005710F4" w:rsidRPr="005710F4" w:rsidRDefault="005710F4" w:rsidP="005710F4">
      <w:pPr>
        <w:spacing w:after="0"/>
        <w:jc w:val="center"/>
        <w:rPr>
          <w:rFonts w:ascii="Lato" w:hAnsi="Lato"/>
          <w:highlight w:val="lightGray"/>
        </w:rPr>
      </w:pPr>
    </w:p>
    <w:p w14:paraId="504C5273" w14:textId="77777777" w:rsidR="005710F4" w:rsidRPr="005710F4" w:rsidRDefault="005710F4" w:rsidP="005710F4">
      <w:pPr>
        <w:spacing w:after="0"/>
        <w:jc w:val="center"/>
        <w:rPr>
          <w:rFonts w:ascii="Lato" w:hAnsi="Lato"/>
          <w:highlight w:val="lightGray"/>
        </w:rPr>
      </w:pPr>
      <w:r w:rsidRPr="005710F4">
        <w:rPr>
          <w:rFonts w:ascii="Lato" w:hAnsi="Lato"/>
        </w:rPr>
        <w:t xml:space="preserve">z dnia </w:t>
      </w:r>
    </w:p>
    <w:p w14:paraId="1B03E11E" w14:textId="77777777" w:rsidR="005710F4" w:rsidRPr="005710F4" w:rsidRDefault="005710F4" w:rsidP="005710F4">
      <w:pPr>
        <w:spacing w:after="0"/>
        <w:jc w:val="center"/>
        <w:rPr>
          <w:rFonts w:ascii="Lato" w:hAnsi="Lato"/>
          <w:highlight w:val="lightGray"/>
        </w:rPr>
      </w:pPr>
    </w:p>
    <w:p w14:paraId="2586E1E2" w14:textId="18BCBCD2" w:rsidR="00AE2F5D" w:rsidRPr="005710F4" w:rsidRDefault="005D4C35" w:rsidP="00EA68E0">
      <w:pPr>
        <w:jc w:val="center"/>
        <w:rPr>
          <w:rFonts w:ascii="Lato" w:hAnsi="Lato" w:cstheme="majorHAnsi"/>
          <w:b/>
          <w:bCs/>
          <w:szCs w:val="24"/>
        </w:rPr>
      </w:pPr>
      <w:r w:rsidRPr="005710F4">
        <w:rPr>
          <w:rFonts w:ascii="Lato" w:hAnsi="Lato" w:cstheme="majorHAnsi"/>
          <w:b/>
          <w:bCs/>
          <w:szCs w:val="24"/>
        </w:rPr>
        <w:t>w sprawie podjęci</w:t>
      </w:r>
      <w:r w:rsidR="0074711C" w:rsidRPr="005710F4">
        <w:rPr>
          <w:rFonts w:ascii="Lato" w:hAnsi="Lato" w:cstheme="majorHAnsi"/>
          <w:b/>
          <w:bCs/>
          <w:szCs w:val="24"/>
        </w:rPr>
        <w:t>a</w:t>
      </w:r>
      <w:r w:rsidRPr="005710F4">
        <w:rPr>
          <w:rFonts w:ascii="Lato" w:hAnsi="Lato" w:cstheme="majorHAnsi"/>
          <w:b/>
          <w:bCs/>
          <w:szCs w:val="24"/>
        </w:rPr>
        <w:t xml:space="preserve"> działań </w:t>
      </w:r>
      <w:r w:rsidR="0074711C" w:rsidRPr="005710F4">
        <w:rPr>
          <w:rFonts w:ascii="Lato" w:hAnsi="Lato" w:cstheme="majorHAnsi"/>
          <w:b/>
          <w:bCs/>
          <w:szCs w:val="24"/>
        </w:rPr>
        <w:t>dotyczących sprawdzenia legalności lokalizacji</w:t>
      </w:r>
      <w:r w:rsidRPr="005710F4">
        <w:rPr>
          <w:rFonts w:ascii="Lato" w:hAnsi="Lato" w:cstheme="majorHAnsi"/>
          <w:b/>
          <w:bCs/>
          <w:szCs w:val="24"/>
        </w:rPr>
        <w:t xml:space="preserve"> </w:t>
      </w:r>
      <w:r w:rsidR="00AA551D" w:rsidRPr="005710F4">
        <w:rPr>
          <w:rFonts w:ascii="Lato" w:hAnsi="Lato" w:cstheme="majorHAnsi"/>
          <w:b/>
          <w:bCs/>
          <w:szCs w:val="24"/>
        </w:rPr>
        <w:t>automatu paczkowego</w:t>
      </w:r>
      <w:r w:rsidRPr="005710F4">
        <w:rPr>
          <w:rFonts w:ascii="Lato" w:hAnsi="Lato" w:cstheme="majorHAnsi"/>
          <w:b/>
          <w:bCs/>
          <w:szCs w:val="24"/>
        </w:rPr>
        <w:t xml:space="preserve"> na </w:t>
      </w:r>
      <w:r w:rsidR="0074711C" w:rsidRPr="005710F4">
        <w:rPr>
          <w:rFonts w:ascii="Lato" w:hAnsi="Lato" w:cstheme="majorHAnsi"/>
          <w:b/>
          <w:bCs/>
          <w:szCs w:val="24"/>
        </w:rPr>
        <w:t xml:space="preserve">ulicy </w:t>
      </w:r>
      <w:proofErr w:type="spellStart"/>
      <w:r w:rsidR="0074711C" w:rsidRPr="005710F4">
        <w:rPr>
          <w:rFonts w:ascii="Lato" w:hAnsi="Lato" w:cstheme="majorHAnsi"/>
          <w:b/>
          <w:bCs/>
          <w:szCs w:val="24"/>
        </w:rPr>
        <w:t>Maciejkowej</w:t>
      </w:r>
      <w:proofErr w:type="spellEnd"/>
      <w:r w:rsidR="0074711C" w:rsidRPr="005710F4">
        <w:rPr>
          <w:rFonts w:ascii="Lato" w:hAnsi="Lato" w:cstheme="majorHAnsi"/>
          <w:b/>
          <w:bCs/>
          <w:szCs w:val="24"/>
        </w:rPr>
        <w:t xml:space="preserve"> </w:t>
      </w:r>
    </w:p>
    <w:p w14:paraId="06542AFC" w14:textId="77777777" w:rsidR="005710F4" w:rsidRDefault="005710F4" w:rsidP="005710F4">
      <w:pPr>
        <w:spacing w:after="0"/>
        <w:rPr>
          <w:rFonts w:ascii="Lato" w:hAnsi="Lato" w:cstheme="majorHAnsi"/>
          <w:sz w:val="22"/>
        </w:rPr>
      </w:pPr>
    </w:p>
    <w:p w14:paraId="6D12569B" w14:textId="77777777" w:rsidR="005710F4" w:rsidRDefault="005710F4" w:rsidP="005710F4">
      <w:pPr>
        <w:spacing w:after="0"/>
        <w:rPr>
          <w:rFonts w:ascii="Lato" w:hAnsi="Lato" w:cstheme="majorHAnsi"/>
          <w:sz w:val="22"/>
        </w:rPr>
      </w:pPr>
    </w:p>
    <w:p w14:paraId="5237CBAA" w14:textId="6601C5E9" w:rsidR="00AE2F5D" w:rsidRPr="005710F4" w:rsidRDefault="0074711C" w:rsidP="005710F4">
      <w:pPr>
        <w:spacing w:after="0"/>
        <w:rPr>
          <w:rFonts w:ascii="Lato" w:hAnsi="Lato" w:cstheme="majorHAnsi"/>
          <w:sz w:val="22"/>
        </w:rPr>
      </w:pPr>
      <w:r w:rsidRPr="005710F4">
        <w:rPr>
          <w:rFonts w:ascii="Lato" w:hAnsi="Lato" w:cstheme="majorHAnsi"/>
          <w:sz w:val="22"/>
        </w:rPr>
        <w:t xml:space="preserve">Na podstawie § 3. ust </w:t>
      </w:r>
      <w:r w:rsidR="00AA551D" w:rsidRPr="005710F4">
        <w:rPr>
          <w:rFonts w:ascii="Lato" w:hAnsi="Lato" w:cstheme="majorHAnsi"/>
          <w:sz w:val="22"/>
        </w:rPr>
        <w:t>3</w:t>
      </w:r>
      <w:r w:rsidRPr="005710F4">
        <w:rPr>
          <w:rFonts w:ascii="Lato" w:hAnsi="Lato" w:cstheme="majorHAnsi"/>
          <w:sz w:val="22"/>
        </w:rPr>
        <w:t xml:space="preserve"> lit. </w:t>
      </w:r>
      <w:r w:rsidR="00AA551D" w:rsidRPr="005710F4">
        <w:rPr>
          <w:rFonts w:ascii="Lato" w:hAnsi="Lato" w:cstheme="majorHAnsi"/>
          <w:sz w:val="22"/>
        </w:rPr>
        <w:t>k</w:t>
      </w:r>
      <w:r w:rsidRPr="005710F4">
        <w:rPr>
          <w:rFonts w:ascii="Lato" w:hAnsi="Lato" w:cstheme="majorHAnsi"/>
          <w:sz w:val="22"/>
        </w:rPr>
        <w:t xml:space="preserve"> uchwały Nr XCIX/1498/14 Rady Miasta Krakowa z dnia 12 marca 2014 r. w sprawie: organizacji i zakresu działania Dzielnicy IV Prądnik Biały w Krakowie (Dz. Urz. Woj. Małopolskiego z 2021 r. poz. 6698), uchwala się, co następuje:</w:t>
      </w:r>
    </w:p>
    <w:p w14:paraId="73AD98BE" w14:textId="77777777" w:rsidR="0074711C" w:rsidRPr="005710F4" w:rsidRDefault="0074711C" w:rsidP="005710F4">
      <w:pPr>
        <w:spacing w:after="0"/>
        <w:rPr>
          <w:rFonts w:ascii="Lato" w:hAnsi="Lato" w:cstheme="majorHAnsi"/>
          <w:sz w:val="22"/>
        </w:rPr>
      </w:pPr>
    </w:p>
    <w:p w14:paraId="3A9CB98E" w14:textId="17131975" w:rsidR="00AE2F5D" w:rsidRPr="005710F4" w:rsidRDefault="005D4C35" w:rsidP="005710F4">
      <w:pPr>
        <w:rPr>
          <w:rFonts w:ascii="Lato" w:hAnsi="Lato" w:cstheme="majorHAnsi"/>
          <w:b/>
          <w:bCs/>
          <w:sz w:val="22"/>
        </w:rPr>
      </w:pPr>
      <w:r w:rsidRPr="005710F4">
        <w:rPr>
          <w:rFonts w:ascii="Lato" w:hAnsi="Lato" w:cstheme="majorHAnsi"/>
          <w:b/>
          <w:bCs/>
          <w:sz w:val="22"/>
        </w:rPr>
        <w:t>§ 1</w:t>
      </w:r>
      <w:r w:rsidR="0074711C" w:rsidRPr="005710F4">
        <w:rPr>
          <w:rFonts w:ascii="Lato" w:hAnsi="Lato" w:cstheme="majorHAnsi"/>
          <w:b/>
          <w:bCs/>
          <w:sz w:val="22"/>
        </w:rPr>
        <w:t>.</w:t>
      </w:r>
      <w:r w:rsidR="00EA68E0" w:rsidRPr="005710F4">
        <w:rPr>
          <w:rFonts w:ascii="Lato" w:hAnsi="Lato" w:cstheme="majorHAnsi"/>
          <w:sz w:val="22"/>
        </w:rPr>
        <w:t xml:space="preserve"> </w:t>
      </w:r>
      <w:r w:rsidR="00AA551D" w:rsidRPr="005710F4">
        <w:rPr>
          <w:rFonts w:ascii="Lato" w:hAnsi="Lato" w:cstheme="majorHAnsi"/>
          <w:sz w:val="22"/>
        </w:rPr>
        <w:t xml:space="preserve">1. </w:t>
      </w:r>
      <w:r w:rsidRPr="005710F4">
        <w:rPr>
          <w:rFonts w:ascii="Lato" w:hAnsi="Lato" w:cstheme="majorHAnsi"/>
          <w:sz w:val="22"/>
        </w:rPr>
        <w:t xml:space="preserve">Wnioskuje się o niezwłoczne przeprowadzenie kontroli </w:t>
      </w:r>
      <w:r w:rsidR="0074711C" w:rsidRPr="005710F4">
        <w:rPr>
          <w:rFonts w:ascii="Lato" w:hAnsi="Lato" w:cstheme="majorHAnsi"/>
          <w:sz w:val="22"/>
        </w:rPr>
        <w:t xml:space="preserve">legalności </w:t>
      </w:r>
      <w:r w:rsidRPr="005710F4">
        <w:rPr>
          <w:rFonts w:ascii="Lato" w:hAnsi="Lato" w:cstheme="majorHAnsi"/>
          <w:sz w:val="22"/>
        </w:rPr>
        <w:t xml:space="preserve">lokalizacji </w:t>
      </w:r>
      <w:r w:rsidR="00AA551D" w:rsidRPr="005710F4">
        <w:rPr>
          <w:rFonts w:ascii="Lato" w:hAnsi="Lato" w:cstheme="majorHAnsi"/>
          <w:sz w:val="22"/>
        </w:rPr>
        <w:t>automatu paczkowego</w:t>
      </w:r>
      <w:r w:rsidRPr="005710F4">
        <w:rPr>
          <w:rFonts w:ascii="Lato" w:hAnsi="Lato" w:cstheme="majorHAnsi"/>
          <w:sz w:val="22"/>
        </w:rPr>
        <w:t xml:space="preserve"> na </w:t>
      </w:r>
      <w:r w:rsidR="00EA68E0" w:rsidRPr="005710F4">
        <w:rPr>
          <w:rFonts w:ascii="Lato" w:hAnsi="Lato" w:cstheme="majorHAnsi"/>
          <w:sz w:val="22"/>
        </w:rPr>
        <w:t xml:space="preserve">ul. </w:t>
      </w:r>
      <w:proofErr w:type="spellStart"/>
      <w:r w:rsidR="00EA68E0" w:rsidRPr="005710F4">
        <w:rPr>
          <w:rFonts w:ascii="Lato" w:hAnsi="Lato" w:cstheme="majorHAnsi"/>
          <w:sz w:val="22"/>
        </w:rPr>
        <w:t>Maciejkowej</w:t>
      </w:r>
      <w:proofErr w:type="spellEnd"/>
      <w:r w:rsidR="00EA68E0" w:rsidRPr="005710F4">
        <w:rPr>
          <w:rFonts w:ascii="Lato" w:hAnsi="Lato" w:cstheme="majorHAnsi"/>
          <w:sz w:val="22"/>
        </w:rPr>
        <w:t xml:space="preserve"> </w:t>
      </w:r>
      <w:r w:rsidRPr="005710F4">
        <w:rPr>
          <w:rFonts w:ascii="Lato" w:hAnsi="Lato" w:cstheme="majorHAnsi"/>
          <w:sz w:val="22"/>
        </w:rPr>
        <w:t>w Krakowie</w:t>
      </w:r>
      <w:r w:rsidR="0074711C" w:rsidRPr="005710F4">
        <w:rPr>
          <w:rFonts w:ascii="Lato" w:hAnsi="Lato" w:cstheme="majorHAnsi"/>
          <w:sz w:val="22"/>
        </w:rPr>
        <w:t xml:space="preserve"> na działkach:</w:t>
      </w:r>
      <w:r w:rsidR="00EA68E0" w:rsidRPr="005710F4">
        <w:rPr>
          <w:rFonts w:ascii="Lato" w:hAnsi="Lato" w:cstheme="majorHAnsi"/>
          <w:sz w:val="22"/>
        </w:rPr>
        <w:t xml:space="preserve"> 284/2</w:t>
      </w:r>
      <w:r w:rsidR="00670BB1" w:rsidRPr="005710F4">
        <w:rPr>
          <w:rFonts w:ascii="Lato" w:hAnsi="Lato" w:cstheme="majorHAnsi"/>
          <w:sz w:val="22"/>
        </w:rPr>
        <w:t xml:space="preserve"> </w:t>
      </w:r>
      <w:r w:rsidR="0074711C" w:rsidRPr="005710F4">
        <w:rPr>
          <w:rFonts w:ascii="Lato" w:hAnsi="Lato" w:cstheme="majorHAnsi"/>
          <w:sz w:val="22"/>
        </w:rPr>
        <w:t>oraz</w:t>
      </w:r>
      <w:r w:rsidR="00670BB1" w:rsidRPr="005710F4">
        <w:rPr>
          <w:rFonts w:ascii="Lato" w:hAnsi="Lato" w:cstheme="majorHAnsi"/>
          <w:sz w:val="22"/>
        </w:rPr>
        <w:t xml:space="preserve"> 283/2 obręb K-33 Krowodrza,</w:t>
      </w:r>
      <w:r w:rsidRPr="005710F4">
        <w:rPr>
          <w:rFonts w:ascii="Lato" w:hAnsi="Lato" w:cstheme="majorHAnsi"/>
          <w:sz w:val="22"/>
        </w:rPr>
        <w:t xml:space="preserve"> oznaczon</w:t>
      </w:r>
      <w:r w:rsidR="0074711C" w:rsidRPr="005710F4">
        <w:rPr>
          <w:rFonts w:ascii="Lato" w:hAnsi="Lato" w:cstheme="majorHAnsi"/>
          <w:sz w:val="22"/>
        </w:rPr>
        <w:t>ych</w:t>
      </w:r>
      <w:r w:rsidRPr="005710F4">
        <w:rPr>
          <w:rFonts w:ascii="Lato" w:hAnsi="Lato" w:cstheme="majorHAnsi"/>
          <w:sz w:val="22"/>
        </w:rPr>
        <w:t xml:space="preserve"> w miejscowym planie zagospodarowania przestrzennego symbolem ZP.5 – teren zieleni publicznej o szczególnych walorach przyrodniczych.</w:t>
      </w:r>
    </w:p>
    <w:p w14:paraId="56CBB668" w14:textId="10AC0F27" w:rsidR="00AE2F5D" w:rsidRPr="005710F4" w:rsidRDefault="00AA551D">
      <w:pPr>
        <w:rPr>
          <w:rFonts w:ascii="Lato" w:hAnsi="Lato" w:cstheme="majorHAnsi"/>
          <w:b/>
          <w:bCs/>
          <w:sz w:val="22"/>
        </w:rPr>
      </w:pPr>
      <w:r w:rsidRPr="005710F4">
        <w:rPr>
          <w:rFonts w:ascii="Lato" w:hAnsi="Lato" w:cstheme="majorHAnsi"/>
          <w:b/>
          <w:bCs/>
          <w:sz w:val="22"/>
        </w:rPr>
        <w:t xml:space="preserve">2. </w:t>
      </w:r>
      <w:r w:rsidR="005D4C35" w:rsidRPr="005710F4">
        <w:rPr>
          <w:rFonts w:ascii="Lato" w:hAnsi="Lato" w:cstheme="majorHAnsi"/>
          <w:sz w:val="22"/>
        </w:rPr>
        <w:t>Wnioskuje się o:</w:t>
      </w:r>
    </w:p>
    <w:p w14:paraId="60BE0D01" w14:textId="61BC9976" w:rsidR="00EA68E0" w:rsidRPr="005710F4" w:rsidRDefault="0074711C" w:rsidP="0074711C">
      <w:pPr>
        <w:pStyle w:val="Akapitzlist"/>
        <w:numPr>
          <w:ilvl w:val="0"/>
          <w:numId w:val="11"/>
        </w:numPr>
        <w:rPr>
          <w:rFonts w:ascii="Lato" w:hAnsi="Lato" w:cstheme="majorHAnsi"/>
          <w:sz w:val="22"/>
        </w:rPr>
      </w:pPr>
      <w:r w:rsidRPr="005710F4">
        <w:rPr>
          <w:rFonts w:ascii="Lato" w:hAnsi="Lato" w:cstheme="majorHAnsi"/>
          <w:sz w:val="22"/>
        </w:rPr>
        <w:t>U</w:t>
      </w:r>
      <w:r w:rsidR="005D4C35" w:rsidRPr="005710F4">
        <w:rPr>
          <w:rFonts w:ascii="Lato" w:hAnsi="Lato" w:cstheme="majorHAnsi"/>
          <w:sz w:val="22"/>
        </w:rPr>
        <w:t>stalenie, czy przedmiotowe urządzenie zostało zrealizowane na podstawie wymaganej decyzji administracyjnej lub skutecznego zgłoszenia</w:t>
      </w:r>
      <w:r w:rsidRPr="005710F4">
        <w:rPr>
          <w:rFonts w:ascii="Lato" w:hAnsi="Lato" w:cstheme="majorHAnsi"/>
          <w:sz w:val="22"/>
        </w:rPr>
        <w:t>.</w:t>
      </w:r>
    </w:p>
    <w:p w14:paraId="77B3C4B7" w14:textId="7BFA0D95" w:rsidR="00AE2F5D" w:rsidRPr="005710F4" w:rsidRDefault="0074711C" w:rsidP="0074711C">
      <w:pPr>
        <w:pStyle w:val="Akapitzlist"/>
        <w:numPr>
          <w:ilvl w:val="0"/>
          <w:numId w:val="11"/>
        </w:numPr>
        <w:rPr>
          <w:rFonts w:ascii="Lato" w:hAnsi="Lato" w:cstheme="majorHAnsi"/>
          <w:sz w:val="22"/>
        </w:rPr>
      </w:pPr>
      <w:r w:rsidRPr="005710F4">
        <w:rPr>
          <w:rFonts w:ascii="Lato" w:hAnsi="Lato" w:cstheme="majorHAnsi"/>
          <w:sz w:val="22"/>
        </w:rPr>
        <w:t>Z</w:t>
      </w:r>
      <w:r w:rsidR="005D4C35" w:rsidRPr="005710F4">
        <w:rPr>
          <w:rFonts w:ascii="Lato" w:hAnsi="Lato" w:cstheme="majorHAnsi"/>
          <w:sz w:val="22"/>
        </w:rPr>
        <w:t>badanie zgodności lokalizacji obiektu z ustaleniami miejscowego planu zagospodarowania przestrzennego</w:t>
      </w:r>
      <w:r w:rsidRPr="005710F4">
        <w:rPr>
          <w:rFonts w:ascii="Lato" w:hAnsi="Lato" w:cstheme="majorHAnsi"/>
          <w:sz w:val="22"/>
        </w:rPr>
        <w:t>.</w:t>
      </w:r>
    </w:p>
    <w:p w14:paraId="6A329A3F" w14:textId="3FAB92A4" w:rsidR="00AE2F5D" w:rsidRPr="005710F4" w:rsidRDefault="0074711C" w:rsidP="0074711C">
      <w:pPr>
        <w:pStyle w:val="Akapitzlist"/>
        <w:numPr>
          <w:ilvl w:val="0"/>
          <w:numId w:val="11"/>
        </w:numPr>
        <w:rPr>
          <w:rFonts w:ascii="Lato" w:hAnsi="Lato" w:cstheme="majorHAnsi"/>
          <w:sz w:val="22"/>
        </w:rPr>
      </w:pPr>
      <w:r w:rsidRPr="005710F4">
        <w:rPr>
          <w:rFonts w:ascii="Lato" w:hAnsi="Lato" w:cstheme="majorHAnsi"/>
          <w:sz w:val="22"/>
        </w:rPr>
        <w:t>P</w:t>
      </w:r>
      <w:r w:rsidR="005D4C35" w:rsidRPr="005710F4">
        <w:rPr>
          <w:rFonts w:ascii="Lato" w:hAnsi="Lato" w:cstheme="majorHAnsi"/>
          <w:sz w:val="22"/>
        </w:rPr>
        <w:t xml:space="preserve">rzeprowadzenie kontroli legalności doprowadzenia instalacji elektrycznej do urządzenia, </w:t>
      </w:r>
      <w:r w:rsidRPr="005710F4">
        <w:rPr>
          <w:rFonts w:ascii="Lato" w:hAnsi="Lato" w:cstheme="majorHAnsi"/>
          <w:sz w:val="22"/>
        </w:rPr>
        <w:br/>
      </w:r>
      <w:r w:rsidR="005D4C35" w:rsidRPr="005710F4">
        <w:rPr>
          <w:rFonts w:ascii="Lato" w:hAnsi="Lato" w:cstheme="majorHAnsi"/>
          <w:sz w:val="22"/>
        </w:rPr>
        <w:t>w tym ustalenie, czy wykonane przyłącze nie stanowi samowoli budowlanej oraz czy jest zgodne z przepisami prawa budowlanego i energetycznego</w:t>
      </w:r>
      <w:r w:rsidRPr="005710F4">
        <w:rPr>
          <w:rFonts w:ascii="Lato" w:hAnsi="Lato" w:cstheme="majorHAnsi"/>
          <w:sz w:val="22"/>
        </w:rPr>
        <w:t>.</w:t>
      </w:r>
    </w:p>
    <w:p w14:paraId="6A5BDBAC" w14:textId="395A456A" w:rsidR="00AE2F5D" w:rsidRPr="005710F4" w:rsidRDefault="0074711C" w:rsidP="0074711C">
      <w:pPr>
        <w:pStyle w:val="Akapitzlist"/>
        <w:numPr>
          <w:ilvl w:val="0"/>
          <w:numId w:val="11"/>
        </w:numPr>
        <w:rPr>
          <w:rFonts w:ascii="Lato" w:hAnsi="Lato" w:cstheme="majorHAnsi"/>
          <w:sz w:val="22"/>
        </w:rPr>
      </w:pPr>
      <w:r w:rsidRPr="005710F4">
        <w:rPr>
          <w:rFonts w:ascii="Lato" w:hAnsi="Lato" w:cstheme="majorHAnsi"/>
          <w:sz w:val="22"/>
        </w:rPr>
        <w:t>P</w:t>
      </w:r>
      <w:r w:rsidR="005D4C35" w:rsidRPr="005710F4">
        <w:rPr>
          <w:rFonts w:ascii="Lato" w:hAnsi="Lato" w:cstheme="majorHAnsi"/>
          <w:sz w:val="22"/>
        </w:rPr>
        <w:t>odjęcie działań zmierzających do przywrócenia stanu zgodnego z prawem, w przypadku stwierdzenia niezgodności inwestycji z ustaleniami planu miejscowego lub obowiązującymi przepisami.</w:t>
      </w:r>
    </w:p>
    <w:p w14:paraId="0E246477" w14:textId="01E263C8" w:rsidR="00AE2F5D" w:rsidRPr="005710F4" w:rsidRDefault="005D4C35">
      <w:pPr>
        <w:rPr>
          <w:rFonts w:ascii="Lato" w:hAnsi="Lato" w:cstheme="majorHAnsi"/>
          <w:b/>
          <w:bCs/>
          <w:sz w:val="22"/>
        </w:rPr>
      </w:pPr>
      <w:r w:rsidRPr="005710F4">
        <w:rPr>
          <w:rFonts w:ascii="Lato" w:hAnsi="Lato" w:cstheme="majorHAnsi"/>
          <w:b/>
          <w:bCs/>
          <w:sz w:val="22"/>
        </w:rPr>
        <w:t xml:space="preserve">§ </w:t>
      </w:r>
      <w:r w:rsidR="00AA551D" w:rsidRPr="005710F4">
        <w:rPr>
          <w:rFonts w:ascii="Lato" w:hAnsi="Lato" w:cstheme="majorHAnsi"/>
          <w:b/>
          <w:bCs/>
          <w:sz w:val="22"/>
        </w:rPr>
        <w:t>2</w:t>
      </w:r>
      <w:r w:rsidR="0074711C" w:rsidRPr="005710F4">
        <w:rPr>
          <w:rFonts w:ascii="Lato" w:hAnsi="Lato" w:cstheme="majorHAnsi"/>
          <w:b/>
          <w:bCs/>
          <w:sz w:val="22"/>
        </w:rPr>
        <w:t xml:space="preserve">. </w:t>
      </w:r>
      <w:r w:rsidRPr="005710F4">
        <w:rPr>
          <w:rFonts w:ascii="Lato" w:hAnsi="Lato" w:cstheme="majorHAnsi"/>
          <w:sz w:val="22"/>
        </w:rPr>
        <w:t>Uchwała wchodzi w życie z dniem podjęcia.</w:t>
      </w:r>
    </w:p>
    <w:p w14:paraId="39C43D27" w14:textId="77777777" w:rsidR="00670BB1" w:rsidRPr="005710F4" w:rsidRDefault="00670BB1">
      <w:pPr>
        <w:rPr>
          <w:rFonts w:ascii="Lato" w:hAnsi="Lato" w:cstheme="majorHAnsi"/>
          <w:sz w:val="20"/>
          <w:szCs w:val="20"/>
        </w:rPr>
      </w:pPr>
    </w:p>
    <w:p w14:paraId="685C0F44" w14:textId="77777777" w:rsidR="00AE2F5D" w:rsidRPr="005710F4" w:rsidRDefault="005D4C35">
      <w:pPr>
        <w:rPr>
          <w:rFonts w:ascii="Lato" w:hAnsi="Lato" w:cstheme="majorHAnsi"/>
          <w:b/>
          <w:bCs/>
          <w:sz w:val="22"/>
        </w:rPr>
      </w:pPr>
      <w:r w:rsidRPr="005710F4">
        <w:rPr>
          <w:rFonts w:ascii="Lato" w:hAnsi="Lato" w:cstheme="majorHAnsi"/>
          <w:b/>
          <w:bCs/>
          <w:sz w:val="22"/>
        </w:rPr>
        <w:lastRenderedPageBreak/>
        <w:t>Uzasadnienie:</w:t>
      </w:r>
    </w:p>
    <w:p w14:paraId="2FDD5D61" w14:textId="5149B073" w:rsidR="00AE2F5D" w:rsidRPr="005710F4" w:rsidRDefault="005D4C35">
      <w:pPr>
        <w:rPr>
          <w:rFonts w:ascii="Lato" w:hAnsi="Lato" w:cstheme="majorHAnsi"/>
          <w:sz w:val="22"/>
        </w:rPr>
      </w:pPr>
      <w:r w:rsidRPr="005710F4">
        <w:rPr>
          <w:rFonts w:ascii="Lato" w:hAnsi="Lato" w:cstheme="majorHAnsi"/>
          <w:sz w:val="22"/>
        </w:rPr>
        <w:t>Zgodnie z ustaleniami miejscowego planu zagospodarowania przestrzennego obszaru „Tonie – Łąki”, tereny oznaczone symbolem ZP.5 przeznaczone są jako tereny zieleni urządzonej o szczególnych walorach przyrodniczych, o podstawowym przeznaczeniu pod publicznie dostępny park.</w:t>
      </w:r>
    </w:p>
    <w:p w14:paraId="5A542149" w14:textId="77777777" w:rsidR="00AE2F5D" w:rsidRPr="005710F4" w:rsidRDefault="005D4C35">
      <w:pPr>
        <w:rPr>
          <w:rFonts w:ascii="Lato" w:hAnsi="Lato" w:cstheme="majorHAnsi"/>
          <w:sz w:val="22"/>
        </w:rPr>
      </w:pPr>
      <w:r w:rsidRPr="005710F4">
        <w:rPr>
          <w:rFonts w:ascii="Lato" w:hAnsi="Lato" w:cstheme="majorHAnsi"/>
          <w:sz w:val="22"/>
        </w:rPr>
        <w:t>Plan miejscowy przewiduje ochronę wartości przyrodniczych oraz zachowanie wysokiego udziału powierzchni biologicznie czynnej, dopuszczając wyłącznie elementy małej architektury oraz infrastrukturę techniczną niezbędną do funkcjonowania terenu zieleni, przy czym nie przewiduje lokalizacji obiektów o charakterze usługowym ani komercyjnym.</w:t>
      </w:r>
    </w:p>
    <w:p w14:paraId="5CCB58BD" w14:textId="3C173353" w:rsidR="00724E63" w:rsidRPr="005710F4" w:rsidRDefault="005D4C35">
      <w:pPr>
        <w:rPr>
          <w:rFonts w:ascii="Lato" w:hAnsi="Lato" w:cstheme="majorHAnsi"/>
          <w:sz w:val="22"/>
        </w:rPr>
      </w:pPr>
      <w:r w:rsidRPr="005710F4">
        <w:rPr>
          <w:rFonts w:ascii="Lato" w:hAnsi="Lato" w:cstheme="majorHAnsi"/>
          <w:sz w:val="22"/>
        </w:rPr>
        <w:t xml:space="preserve">Urządzenie firmy </w:t>
      </w:r>
      <w:proofErr w:type="spellStart"/>
      <w:r w:rsidRPr="005710F4">
        <w:rPr>
          <w:rFonts w:ascii="Lato" w:hAnsi="Lato" w:cstheme="majorHAnsi"/>
          <w:sz w:val="22"/>
        </w:rPr>
        <w:t>InPost</w:t>
      </w:r>
      <w:proofErr w:type="spellEnd"/>
      <w:r w:rsidRPr="005710F4">
        <w:rPr>
          <w:rFonts w:ascii="Lato" w:hAnsi="Lato" w:cstheme="majorHAnsi"/>
          <w:sz w:val="22"/>
        </w:rPr>
        <w:t xml:space="preserve"> stanowi urządzenie logistyczne o charakterze komercyjnym i nie realizuje funkcji związanej z przeznaczeniem terenu jako zieleni publicznej. Lokalizacja tego typu obiektu może pozostawać w sprzeczności z ustaleniami planu miejscowego.</w:t>
      </w:r>
      <w:r w:rsidR="00724E63" w:rsidRPr="005710F4">
        <w:rPr>
          <w:rFonts w:ascii="Lato" w:hAnsi="Lato" w:cstheme="majorHAnsi"/>
          <w:sz w:val="22"/>
        </w:rPr>
        <w:t xml:space="preserve"> </w:t>
      </w:r>
      <w:r w:rsidRPr="005710F4">
        <w:rPr>
          <w:rFonts w:ascii="Lato" w:hAnsi="Lato" w:cstheme="majorHAnsi"/>
          <w:sz w:val="22"/>
        </w:rPr>
        <w:t xml:space="preserve">Dodatkowo do urządzenia doprowadzona została instalacja elektryczna z prywatnego budynku mieszkalnego. </w:t>
      </w:r>
    </w:p>
    <w:p w14:paraId="7C93801A" w14:textId="01936283" w:rsidR="00AE2F5D" w:rsidRPr="005710F4" w:rsidRDefault="005D4C35">
      <w:pPr>
        <w:rPr>
          <w:rFonts w:ascii="Lato" w:hAnsi="Lato" w:cstheme="majorHAnsi"/>
          <w:sz w:val="22"/>
        </w:rPr>
      </w:pPr>
      <w:r w:rsidRPr="005710F4">
        <w:rPr>
          <w:rFonts w:ascii="Lato" w:hAnsi="Lato" w:cstheme="majorHAnsi"/>
          <w:sz w:val="22"/>
        </w:rPr>
        <w:t>W ocenie Rady Dzielnicy</w:t>
      </w:r>
      <w:r w:rsidR="00670BB1" w:rsidRPr="005710F4">
        <w:rPr>
          <w:rFonts w:ascii="Lato" w:hAnsi="Lato" w:cstheme="majorHAnsi"/>
          <w:sz w:val="22"/>
        </w:rPr>
        <w:t xml:space="preserve"> IV</w:t>
      </w:r>
      <w:r w:rsidRPr="005710F4">
        <w:rPr>
          <w:rFonts w:ascii="Lato" w:hAnsi="Lato" w:cstheme="majorHAnsi"/>
          <w:sz w:val="22"/>
        </w:rPr>
        <w:t xml:space="preserve"> </w:t>
      </w:r>
      <w:r w:rsidR="00724E63" w:rsidRPr="005710F4">
        <w:rPr>
          <w:rFonts w:ascii="Lato" w:hAnsi="Lato" w:cstheme="majorHAnsi"/>
          <w:sz w:val="22"/>
        </w:rPr>
        <w:t xml:space="preserve">Prądnik Biały </w:t>
      </w:r>
      <w:r w:rsidRPr="005710F4">
        <w:rPr>
          <w:rFonts w:ascii="Lato" w:hAnsi="Lato" w:cstheme="majorHAnsi"/>
          <w:sz w:val="22"/>
        </w:rPr>
        <w:t>wymaga to weryfikacji pod kątem zgodności z przepisami ustawy Prawo budowlane oraz przepisami regulującymi zasady wykonywania przyłączy energetycznych.</w:t>
      </w:r>
      <w:r w:rsidR="00724E63" w:rsidRPr="005710F4">
        <w:rPr>
          <w:rFonts w:ascii="Lato" w:hAnsi="Lato" w:cstheme="majorHAnsi"/>
          <w:sz w:val="22"/>
        </w:rPr>
        <w:t xml:space="preserve"> Ponadto o</w:t>
      </w:r>
      <w:r w:rsidRPr="005710F4">
        <w:rPr>
          <w:rFonts w:ascii="Lato" w:hAnsi="Lato" w:cstheme="majorHAnsi"/>
          <w:sz w:val="22"/>
        </w:rPr>
        <w:t>chrona terenów zieleni publicznej o szczególnych walorach przyrodniczych powinna mieć charakter nadrzędny wobec interesu komercyjnego podmiotów prywatnych. Dopuszczenie lokalizacji obiektów usługowych na terenach ZP może prowadzić do stopniowej degradacji przestrzeni przeznaczonych w planie miejscowym pod funkcje przyrodnicze i rekreacyjne.</w:t>
      </w:r>
    </w:p>
    <w:p w14:paraId="179030F2" w14:textId="740B6CEC" w:rsidR="00DF33A8" w:rsidRPr="009C0AD3" w:rsidRDefault="00DF33A8" w:rsidP="00DF33A8">
      <w:pPr>
        <w:ind w:left="4536"/>
        <w:rPr>
          <w:rFonts w:ascii="Lato" w:hAnsi="Lato"/>
          <w:szCs w:val="24"/>
        </w:rPr>
      </w:pPr>
      <w:r w:rsidRPr="009C0AD3">
        <w:rPr>
          <w:rFonts w:ascii="Lato" w:hAnsi="Lato"/>
          <w:szCs w:val="24"/>
        </w:rPr>
        <w:t>Przewodniczący Komisji</w:t>
      </w:r>
      <w:r>
        <w:rPr>
          <w:rFonts w:ascii="Lato" w:hAnsi="Lato"/>
          <w:szCs w:val="24"/>
        </w:rPr>
        <w:t xml:space="preserve"> Infrastruktury</w:t>
      </w:r>
    </w:p>
    <w:p w14:paraId="11B26239" w14:textId="77777777" w:rsidR="00DF33A8" w:rsidRPr="009C0AD3" w:rsidRDefault="00DF33A8" w:rsidP="00DF33A8">
      <w:pPr>
        <w:ind w:left="5954"/>
        <w:rPr>
          <w:rFonts w:ascii="Lato" w:hAnsi="Lato"/>
          <w:szCs w:val="24"/>
        </w:rPr>
      </w:pPr>
    </w:p>
    <w:p w14:paraId="036EE1ED" w14:textId="77777777" w:rsidR="00DF33A8" w:rsidRPr="009C0AD3" w:rsidRDefault="00DF33A8" w:rsidP="00DF33A8">
      <w:pPr>
        <w:ind w:left="5954"/>
        <w:rPr>
          <w:rFonts w:ascii="Lato" w:hAnsi="Lato"/>
          <w:b/>
          <w:bCs/>
          <w:szCs w:val="24"/>
        </w:rPr>
      </w:pPr>
      <w:r w:rsidRPr="009C0AD3">
        <w:rPr>
          <w:rFonts w:ascii="Lato" w:hAnsi="Lato"/>
          <w:b/>
          <w:bCs/>
          <w:szCs w:val="24"/>
        </w:rPr>
        <w:t>Jakub Kornecki</w:t>
      </w:r>
    </w:p>
    <w:p w14:paraId="296AEE0C" w14:textId="3D42E1B6" w:rsidR="00AE2F5D" w:rsidRPr="00EA68E0" w:rsidRDefault="00AE2F5D">
      <w:pPr>
        <w:rPr>
          <w:rFonts w:asciiTheme="majorHAnsi" w:hAnsiTheme="majorHAnsi" w:cstheme="majorHAnsi"/>
          <w:sz w:val="22"/>
        </w:rPr>
      </w:pPr>
    </w:p>
    <w:sectPr w:rsidR="00AE2F5D" w:rsidRPr="00EA68E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Lato">
    <w:panose1 w:val="020F0502020204030203"/>
    <w:charset w:val="EE"/>
    <w:family w:val="swiss"/>
    <w:pitch w:val="variable"/>
    <w:sig w:usb0="A00000AF" w:usb1="5000604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2E1A6A0E"/>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C1D1135"/>
    <w:multiLevelType w:val="hybridMultilevel"/>
    <w:tmpl w:val="B6D0D6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8446175">
    <w:abstractNumId w:val="8"/>
  </w:num>
  <w:num w:numId="2" w16cid:durableId="395519626">
    <w:abstractNumId w:val="6"/>
  </w:num>
  <w:num w:numId="3" w16cid:durableId="1894466680">
    <w:abstractNumId w:val="5"/>
  </w:num>
  <w:num w:numId="4" w16cid:durableId="72823556">
    <w:abstractNumId w:val="4"/>
  </w:num>
  <w:num w:numId="5" w16cid:durableId="1420369943">
    <w:abstractNumId w:val="7"/>
  </w:num>
  <w:num w:numId="6" w16cid:durableId="654527189">
    <w:abstractNumId w:val="3"/>
  </w:num>
  <w:num w:numId="7" w16cid:durableId="1386752786">
    <w:abstractNumId w:val="2"/>
  </w:num>
  <w:num w:numId="8" w16cid:durableId="290671849">
    <w:abstractNumId w:val="1"/>
  </w:num>
  <w:num w:numId="9" w16cid:durableId="1081029722">
    <w:abstractNumId w:val="0"/>
  </w:num>
  <w:num w:numId="10" w16cid:durableId="790904411">
    <w:abstractNumId w:val="10"/>
  </w:num>
  <w:num w:numId="11" w16cid:durableId="2551382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3124"/>
    <w:rsid w:val="0015074B"/>
    <w:rsid w:val="0029485D"/>
    <w:rsid w:val="0029639D"/>
    <w:rsid w:val="00326F90"/>
    <w:rsid w:val="003B1194"/>
    <w:rsid w:val="0047720E"/>
    <w:rsid w:val="005710F4"/>
    <w:rsid w:val="005D4C35"/>
    <w:rsid w:val="00670BB1"/>
    <w:rsid w:val="006B71A3"/>
    <w:rsid w:val="00724E63"/>
    <w:rsid w:val="0074711C"/>
    <w:rsid w:val="008850E9"/>
    <w:rsid w:val="00971631"/>
    <w:rsid w:val="00AA1D8D"/>
    <w:rsid w:val="00AA551D"/>
    <w:rsid w:val="00AE2F5D"/>
    <w:rsid w:val="00B47730"/>
    <w:rsid w:val="00CB0664"/>
    <w:rsid w:val="00DF33A8"/>
    <w:rsid w:val="00E05D80"/>
    <w:rsid w:val="00E06509"/>
    <w:rsid w:val="00EA68E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40402C"/>
  <w14:defaultImageDpi w14:val="300"/>
  <w15:docId w15:val="{1EF05C13-B0DC-44A5-B573-B0BDFED9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Times New Roman" w:hAnsi="Times New Roman"/>
      <w:sz w:val="24"/>
      <w:lang w:val="pl-PL"/>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446</Words>
  <Characters>2676</Characters>
  <Application>Microsoft Office Word</Application>
  <DocSecurity>0</DocSecurity>
  <Lines>22</Lines>
  <Paragraphs>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Nowak Anna</cp:lastModifiedBy>
  <cp:revision>5</cp:revision>
  <dcterms:created xsi:type="dcterms:W3CDTF">2026-03-04T12:55:00Z</dcterms:created>
  <dcterms:modified xsi:type="dcterms:W3CDTF">2026-03-20T12:14:00Z</dcterms:modified>
  <cp:category/>
</cp:coreProperties>
</file>